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1F22A" w14:textId="42A4C6D1" w:rsidR="00531CAA" w:rsidRPr="00226ED3" w:rsidRDefault="00EC6BBA" w:rsidP="00226E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УПУТСТВО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ПОДНОСИОЦЕ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ПРИЈАВЕ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1A871779" w:rsidR="00A40C84" w:rsidRDefault="00EC6BBA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ТРАНСФЕР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РАЗВОЈ</w:t>
            </w:r>
            <w:r w:rsidR="00226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НАУКЕ</w:t>
            </w:r>
            <w:r w:rsidR="00226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226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ПОДСТИЦАЈ</w:t>
            </w:r>
            <w:r w:rsidR="00226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НИР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ОД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ЗНАЧАЈА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ФЕДЕРАЦИЈУ</w:t>
            </w:r>
            <w:r w:rsidR="00A40C84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БИХ</w:t>
            </w:r>
          </w:p>
          <w:p w14:paraId="5525293D" w14:textId="49BC2CE4" w:rsidR="00226ED3" w:rsidRPr="00226ED3" w:rsidRDefault="00EC6BBA" w:rsidP="00226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Јавни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позив</w:t>
            </w:r>
            <w:r w:rsid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финансирање</w:t>
            </w:r>
            <w:r w:rsidR="00122D47" w:rsidRPr="00A40C84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суфинансирање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научно</w:t>
            </w:r>
            <w:r w:rsidR="00226ED3" w:rsidRPr="00226ED3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истраживачких</w:t>
            </w:r>
            <w:r w:rsidR="00226ED3" w:rsidRPr="00226ED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390DDC9" w14:textId="1C8320FC" w:rsidR="00A40C84" w:rsidRPr="00A40C84" w:rsidRDefault="00EC6BBA" w:rsidP="00226E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="00226ED3" w:rsidRPr="00226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истраживачко</w:t>
            </w:r>
            <w:r w:rsidR="00226ED3" w:rsidRPr="00226ED3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развојних</w:t>
            </w:r>
            <w:r w:rsidR="00226ED3" w:rsidRPr="00226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пројеката</w:t>
            </w:r>
            <w:r w:rsidR="00226ED3" w:rsidRPr="00226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226ED3" w:rsidRPr="00226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Федерацији</w:t>
            </w:r>
            <w:r w:rsidR="00226ED3" w:rsidRPr="00226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Босне</w:t>
            </w:r>
            <w:r w:rsidR="00226ED3" w:rsidRPr="00226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226ED3" w:rsidRPr="00226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Херцеговине</w:t>
            </w:r>
            <w:r w:rsidR="00226ED3" w:rsidRPr="00226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 202</w:t>
            </w:r>
            <w:r w:rsidR="00821984">
              <w:rPr>
                <w:b/>
                <w:bCs/>
                <w:sz w:val="24"/>
                <w:szCs w:val="24"/>
              </w:rPr>
              <w:t>5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години</w:t>
            </w: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10EB5BAB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проблема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одређеној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области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финансирања</w:t>
            </w:r>
          </w:p>
        </w:tc>
        <w:tc>
          <w:tcPr>
            <w:tcW w:w="6390" w:type="dxa"/>
            <w:vAlign w:val="center"/>
          </w:tcPr>
          <w:p w14:paraId="43765485" w14:textId="64C270D7" w:rsidR="008A43F2" w:rsidRDefault="00EC6BBA" w:rsidP="00531CAA">
            <w:r>
              <w:t>Унапређивати</w:t>
            </w:r>
            <w:r w:rsidR="00072C5F" w:rsidRPr="00072C5F">
              <w:t xml:space="preserve"> </w:t>
            </w:r>
            <w:r>
              <w:t>научно</w:t>
            </w:r>
            <w:r w:rsidR="00072C5F" w:rsidRPr="00072C5F">
              <w:t>-</w:t>
            </w:r>
            <w:r>
              <w:t>истраживачку</w:t>
            </w:r>
            <w:r w:rsidR="00072C5F" w:rsidRPr="00072C5F">
              <w:t xml:space="preserve"> </w:t>
            </w:r>
            <w:r>
              <w:t>и</w:t>
            </w:r>
            <w:r w:rsidR="00072C5F" w:rsidRPr="00072C5F">
              <w:t xml:space="preserve"> </w:t>
            </w:r>
            <w:r>
              <w:t>истраживачко</w:t>
            </w:r>
            <w:r w:rsidR="00072C5F" w:rsidRPr="00072C5F">
              <w:t>-</w:t>
            </w:r>
            <w:r>
              <w:t>развојну</w:t>
            </w:r>
            <w:r w:rsidR="00072C5F" w:rsidRPr="00072C5F">
              <w:t xml:space="preserve"> </w:t>
            </w:r>
            <w:r>
              <w:t>дјелатност</w:t>
            </w:r>
            <w:r w:rsidR="00072C5F" w:rsidRPr="00072C5F">
              <w:t xml:space="preserve"> </w:t>
            </w:r>
            <w:r>
              <w:t>у</w:t>
            </w:r>
            <w:r w:rsidR="00072C5F" w:rsidRPr="00072C5F">
              <w:t xml:space="preserve"> </w:t>
            </w:r>
            <w:r>
              <w:t>Федерацији</w:t>
            </w:r>
            <w:r w:rsidR="00072C5F" w:rsidRPr="00072C5F">
              <w:t xml:space="preserve"> </w:t>
            </w:r>
            <w:r>
              <w:t>БиХ</w:t>
            </w:r>
            <w:r w:rsidR="00072C5F" w:rsidRPr="00072C5F">
              <w:t>.</w:t>
            </w:r>
          </w:p>
        </w:tc>
      </w:tr>
      <w:tr w:rsidR="008A43F2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67CE8BC9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Опћи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посебни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циљеви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јавног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позива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приоритети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основним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специфичним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програмским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областима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додјелу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буџетских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</w:p>
        </w:tc>
        <w:tc>
          <w:tcPr>
            <w:tcW w:w="6390" w:type="dxa"/>
            <w:vAlign w:val="center"/>
          </w:tcPr>
          <w:p w14:paraId="3F0DED95" w14:textId="62C4C9A3" w:rsidR="00DD3831" w:rsidRDefault="00EC6BBA" w:rsidP="00821984">
            <w:pPr>
              <w:jc w:val="both"/>
            </w:pPr>
            <w:r>
              <w:t>Подршка</w:t>
            </w:r>
            <w:r w:rsidR="00226ED3" w:rsidRPr="00226ED3">
              <w:t xml:space="preserve"> </w:t>
            </w:r>
            <w:r>
              <w:t>развоју</w:t>
            </w:r>
            <w:r w:rsidR="00226ED3" w:rsidRPr="00226ED3">
              <w:t xml:space="preserve"> </w:t>
            </w:r>
            <w:r>
              <w:t>научно</w:t>
            </w:r>
            <w:r w:rsidR="00226ED3" w:rsidRPr="00226ED3">
              <w:t>-</w:t>
            </w:r>
            <w:r>
              <w:t>истраживачке</w:t>
            </w:r>
            <w:r w:rsidR="00226ED3" w:rsidRPr="00226ED3">
              <w:t xml:space="preserve"> </w:t>
            </w:r>
            <w:r>
              <w:t>и</w:t>
            </w:r>
            <w:r w:rsidR="00226ED3" w:rsidRPr="00226ED3">
              <w:t xml:space="preserve"> </w:t>
            </w:r>
            <w:r>
              <w:t>истраживачко</w:t>
            </w:r>
            <w:r w:rsidR="00226ED3" w:rsidRPr="00226ED3">
              <w:t>-</w:t>
            </w:r>
            <w:r>
              <w:t>развојне</w:t>
            </w:r>
            <w:r w:rsidR="00226ED3" w:rsidRPr="00226ED3">
              <w:t xml:space="preserve"> </w:t>
            </w:r>
            <w:r>
              <w:t>дјелатности</w:t>
            </w:r>
            <w:r w:rsidR="00226ED3" w:rsidRPr="00226ED3">
              <w:t xml:space="preserve"> </w:t>
            </w:r>
            <w:r>
              <w:t>у</w:t>
            </w:r>
            <w:r w:rsidR="00226ED3" w:rsidRPr="00226ED3">
              <w:t xml:space="preserve"> </w:t>
            </w:r>
            <w:r>
              <w:t>Федерацији</w:t>
            </w:r>
            <w:r w:rsidR="00226ED3" w:rsidRPr="00226ED3">
              <w:t xml:space="preserve"> </w:t>
            </w:r>
            <w:r>
              <w:t>БиХ</w:t>
            </w:r>
            <w:r w:rsidR="00226ED3" w:rsidRPr="00226ED3">
              <w:t xml:space="preserve">, </w:t>
            </w:r>
            <w:r>
              <w:t>реализација</w:t>
            </w:r>
            <w:r w:rsidR="00226ED3" w:rsidRPr="00226ED3">
              <w:t xml:space="preserve"> </w:t>
            </w:r>
            <w:r>
              <w:t>пројеката</w:t>
            </w:r>
            <w:r w:rsidR="00226ED3" w:rsidRPr="00226ED3">
              <w:t xml:space="preserve"> </w:t>
            </w:r>
            <w:r>
              <w:t>који</w:t>
            </w:r>
            <w:r w:rsidR="00226ED3" w:rsidRPr="00226ED3">
              <w:t xml:space="preserve"> </w:t>
            </w:r>
            <w:r>
              <w:t>стварају</w:t>
            </w:r>
            <w:r w:rsidR="00226ED3" w:rsidRPr="00226ED3">
              <w:t xml:space="preserve"> </w:t>
            </w:r>
            <w:r>
              <w:t>нова</w:t>
            </w:r>
            <w:r w:rsidR="00226ED3" w:rsidRPr="00226ED3">
              <w:t xml:space="preserve"> </w:t>
            </w:r>
            <w:r>
              <w:t>и</w:t>
            </w:r>
            <w:r w:rsidR="00226ED3" w:rsidRPr="00226ED3">
              <w:t xml:space="preserve"> </w:t>
            </w:r>
            <w:r>
              <w:t>унапређују</w:t>
            </w:r>
            <w:r w:rsidR="00226ED3" w:rsidRPr="00226ED3">
              <w:t xml:space="preserve"> </w:t>
            </w:r>
            <w:r>
              <w:t>постојећа</w:t>
            </w:r>
            <w:r w:rsidR="00226ED3" w:rsidRPr="00226ED3">
              <w:t xml:space="preserve"> </w:t>
            </w:r>
            <w:r>
              <w:t>знања</w:t>
            </w:r>
            <w:r w:rsidR="00226ED3" w:rsidRPr="00226ED3">
              <w:t xml:space="preserve">, </w:t>
            </w:r>
            <w:r>
              <w:t>те</w:t>
            </w:r>
            <w:r w:rsidR="00226ED3" w:rsidRPr="00226ED3">
              <w:t xml:space="preserve"> </w:t>
            </w:r>
            <w:r>
              <w:t>примијењеним</w:t>
            </w:r>
            <w:r w:rsidR="00226ED3" w:rsidRPr="00226ED3">
              <w:t xml:space="preserve"> (</w:t>
            </w:r>
            <w:r>
              <w:t>или</w:t>
            </w:r>
            <w:r w:rsidR="00226ED3" w:rsidRPr="00226ED3">
              <w:t xml:space="preserve"> </w:t>
            </w:r>
            <w:r>
              <w:t>развојним</w:t>
            </w:r>
            <w:r w:rsidR="00226ED3" w:rsidRPr="00226ED3">
              <w:t xml:space="preserve">) </w:t>
            </w:r>
            <w:r>
              <w:t>истраживањима</w:t>
            </w:r>
            <w:r w:rsidR="00226ED3" w:rsidRPr="00226ED3">
              <w:t xml:space="preserve"> </w:t>
            </w:r>
            <w:r>
              <w:t>која</w:t>
            </w:r>
            <w:r w:rsidR="00226ED3" w:rsidRPr="00226ED3">
              <w:t xml:space="preserve"> </w:t>
            </w:r>
            <w:r>
              <w:t>се</w:t>
            </w:r>
            <w:r w:rsidR="00226ED3" w:rsidRPr="00226ED3">
              <w:t xml:space="preserve"> </w:t>
            </w:r>
            <w:r>
              <w:t>проводе</w:t>
            </w:r>
            <w:r w:rsidR="00226ED3" w:rsidRPr="00226ED3">
              <w:t xml:space="preserve"> </w:t>
            </w:r>
            <w:r>
              <w:t>с</w:t>
            </w:r>
            <w:r w:rsidR="00226ED3" w:rsidRPr="00226ED3">
              <w:t xml:space="preserve"> </w:t>
            </w:r>
            <w:r>
              <w:t>јасним</w:t>
            </w:r>
            <w:r w:rsidR="00226ED3" w:rsidRPr="00226ED3">
              <w:t xml:space="preserve"> </w:t>
            </w:r>
            <w:r>
              <w:t>технолошким</w:t>
            </w:r>
            <w:r w:rsidR="00226ED3" w:rsidRPr="00226ED3">
              <w:t xml:space="preserve">, </w:t>
            </w:r>
            <w:r>
              <w:t>економским</w:t>
            </w:r>
            <w:r w:rsidR="00226ED3" w:rsidRPr="00226ED3">
              <w:t xml:space="preserve"> </w:t>
            </w:r>
            <w:r>
              <w:t>или</w:t>
            </w:r>
            <w:r w:rsidR="00226ED3" w:rsidRPr="00226ED3">
              <w:t xml:space="preserve"> </w:t>
            </w:r>
            <w:r>
              <w:t>друштвеним</w:t>
            </w:r>
            <w:r w:rsidR="00226ED3" w:rsidRPr="00226ED3">
              <w:t xml:space="preserve"> </w:t>
            </w:r>
            <w:r>
              <w:t>циљевима</w:t>
            </w:r>
            <w:r w:rsidR="00226ED3" w:rsidRPr="00226ED3">
              <w:t xml:space="preserve">. </w:t>
            </w:r>
            <w:r>
              <w:t>Подршка</w:t>
            </w:r>
            <w:r w:rsidR="00226ED3" w:rsidRPr="00226ED3">
              <w:t xml:space="preserve"> </w:t>
            </w:r>
            <w:r>
              <w:t>међународно</w:t>
            </w:r>
            <w:r w:rsidR="00226ED3" w:rsidRPr="00226ED3">
              <w:t xml:space="preserve"> </w:t>
            </w:r>
            <w:r>
              <w:t>препознатљивим</w:t>
            </w:r>
            <w:r w:rsidR="00226ED3" w:rsidRPr="00226ED3">
              <w:t xml:space="preserve"> </w:t>
            </w:r>
            <w:r>
              <w:t>п</w:t>
            </w:r>
            <w:bookmarkStart w:id="0" w:name="_GoBack"/>
            <w:bookmarkEnd w:id="0"/>
            <w:r>
              <w:t>ројектима</w:t>
            </w:r>
            <w:r w:rsidR="00226ED3" w:rsidRPr="00226ED3">
              <w:t xml:space="preserve"> </w:t>
            </w:r>
            <w:r>
              <w:t>који</w:t>
            </w:r>
            <w:r w:rsidR="00226ED3" w:rsidRPr="00226ED3">
              <w:t xml:space="preserve"> </w:t>
            </w:r>
            <w:r>
              <w:t>се</w:t>
            </w:r>
            <w:r w:rsidR="00226ED3" w:rsidRPr="00226ED3">
              <w:t xml:space="preserve"> </w:t>
            </w:r>
            <w:r>
              <w:t>заснивају</w:t>
            </w:r>
            <w:r w:rsidR="00226ED3" w:rsidRPr="00226ED3">
              <w:t xml:space="preserve"> </w:t>
            </w:r>
            <w:r>
              <w:t>на</w:t>
            </w:r>
            <w:r w:rsidR="00226ED3" w:rsidRPr="00226ED3">
              <w:t xml:space="preserve"> </w:t>
            </w:r>
            <w:r>
              <w:t>изврсним</w:t>
            </w:r>
            <w:r w:rsidR="00226ED3" w:rsidRPr="00226ED3">
              <w:t xml:space="preserve"> </w:t>
            </w:r>
            <w:r>
              <w:t>истраживачима</w:t>
            </w:r>
            <w:r w:rsidR="00226ED3" w:rsidRPr="00226ED3">
              <w:t xml:space="preserve"> </w:t>
            </w:r>
            <w:r>
              <w:t>или</w:t>
            </w:r>
            <w:r w:rsidR="00226ED3" w:rsidRPr="00226ED3">
              <w:t xml:space="preserve"> </w:t>
            </w:r>
            <w:r>
              <w:t>снажним</w:t>
            </w:r>
            <w:r w:rsidR="00226ED3" w:rsidRPr="00226ED3">
              <w:t xml:space="preserve"> </w:t>
            </w:r>
            <w:r>
              <w:t>истраживачким</w:t>
            </w:r>
            <w:r w:rsidR="00226ED3" w:rsidRPr="00226ED3">
              <w:t xml:space="preserve"> </w:t>
            </w:r>
            <w:r>
              <w:t>групама</w:t>
            </w:r>
            <w:r w:rsidR="00226ED3" w:rsidRPr="00226ED3">
              <w:t xml:space="preserve"> </w:t>
            </w:r>
            <w:r>
              <w:t>које</w:t>
            </w:r>
            <w:r w:rsidR="00226ED3" w:rsidRPr="00226ED3">
              <w:t xml:space="preserve"> </w:t>
            </w:r>
            <w:r>
              <w:t>воде</w:t>
            </w:r>
            <w:r w:rsidR="00226ED3" w:rsidRPr="00226ED3">
              <w:t xml:space="preserve"> </w:t>
            </w:r>
            <w:r>
              <w:t>признати</w:t>
            </w:r>
            <w:r w:rsidR="00226ED3" w:rsidRPr="00226ED3">
              <w:t xml:space="preserve"> </w:t>
            </w:r>
            <w:r>
              <w:t>научници</w:t>
            </w:r>
            <w:r w:rsidR="00226ED3" w:rsidRPr="00226ED3">
              <w:t xml:space="preserve"> </w:t>
            </w:r>
            <w:r>
              <w:t>с</w:t>
            </w:r>
            <w:r w:rsidR="00226ED3" w:rsidRPr="00226ED3">
              <w:t xml:space="preserve"> </w:t>
            </w:r>
            <w:r>
              <w:t>одличним</w:t>
            </w:r>
            <w:r w:rsidR="00226ED3" w:rsidRPr="00226ED3">
              <w:t xml:space="preserve"> </w:t>
            </w:r>
            <w:r>
              <w:t>досадашњим</w:t>
            </w:r>
            <w:r w:rsidR="00226ED3" w:rsidRPr="00226ED3">
              <w:t xml:space="preserve"> </w:t>
            </w:r>
            <w:r>
              <w:t>постигнућима</w:t>
            </w:r>
            <w:r w:rsidR="00226ED3" w:rsidRPr="00226ED3">
              <w:t xml:space="preserve">. </w:t>
            </w:r>
            <w:r>
              <w:t>Подршка</w:t>
            </w:r>
            <w:r w:rsidR="00226ED3" w:rsidRPr="00226ED3">
              <w:t xml:space="preserve"> </w:t>
            </w:r>
            <w:r>
              <w:t>пројектима</w:t>
            </w:r>
            <w:r w:rsidR="00226ED3" w:rsidRPr="00226ED3">
              <w:t xml:space="preserve"> </w:t>
            </w:r>
            <w:r>
              <w:t>који</w:t>
            </w:r>
            <w:r w:rsidR="00226ED3" w:rsidRPr="00226ED3">
              <w:t xml:space="preserve"> </w:t>
            </w:r>
            <w:r>
              <w:t>представљају</w:t>
            </w:r>
            <w:r w:rsidR="00226ED3" w:rsidRPr="00226ED3">
              <w:t xml:space="preserve"> </w:t>
            </w:r>
            <w:r>
              <w:t>извор</w:t>
            </w:r>
            <w:r w:rsidR="00226ED3" w:rsidRPr="00226ED3">
              <w:t xml:space="preserve"> </w:t>
            </w:r>
            <w:r>
              <w:t>нових</w:t>
            </w:r>
            <w:r w:rsidR="00226ED3" w:rsidRPr="00226ED3">
              <w:t xml:space="preserve"> </w:t>
            </w:r>
            <w:r>
              <w:t>научних</w:t>
            </w:r>
            <w:r w:rsidR="00226ED3" w:rsidRPr="00226ED3">
              <w:t xml:space="preserve"> </w:t>
            </w:r>
            <w:r>
              <w:t>идеја</w:t>
            </w:r>
            <w:r w:rsidR="00226ED3" w:rsidRPr="00226ED3">
              <w:t xml:space="preserve"> </w:t>
            </w:r>
            <w:r>
              <w:t>и</w:t>
            </w:r>
            <w:r w:rsidR="00226ED3" w:rsidRPr="00226ED3">
              <w:t xml:space="preserve"> </w:t>
            </w:r>
            <w:r>
              <w:t>доприносе</w:t>
            </w:r>
            <w:r w:rsidR="00226ED3" w:rsidRPr="00226ED3">
              <w:t xml:space="preserve"> </w:t>
            </w:r>
            <w:r>
              <w:t>развоју</w:t>
            </w:r>
            <w:r w:rsidR="00226ED3" w:rsidRPr="00226ED3">
              <w:t xml:space="preserve"> </w:t>
            </w:r>
            <w:r>
              <w:t>научне</w:t>
            </w:r>
            <w:r w:rsidR="00226ED3" w:rsidRPr="00226ED3">
              <w:t xml:space="preserve"> </w:t>
            </w:r>
            <w:r>
              <w:t>мисли</w:t>
            </w:r>
            <w:r w:rsidR="00226ED3" w:rsidRPr="00226ED3">
              <w:t xml:space="preserve">. </w:t>
            </w:r>
            <w:r>
              <w:t>Јачање</w:t>
            </w:r>
            <w:r w:rsidR="00226ED3" w:rsidRPr="00226ED3">
              <w:t xml:space="preserve"> </w:t>
            </w:r>
            <w:r>
              <w:t>амбијента</w:t>
            </w:r>
            <w:r w:rsidR="00226ED3" w:rsidRPr="00226ED3">
              <w:t xml:space="preserve"> </w:t>
            </w:r>
            <w:r>
              <w:t>који</w:t>
            </w:r>
            <w:r w:rsidR="00226ED3" w:rsidRPr="00226ED3">
              <w:t xml:space="preserve"> </w:t>
            </w:r>
            <w:r>
              <w:t>омогућава</w:t>
            </w:r>
            <w:r w:rsidR="00226ED3" w:rsidRPr="00226ED3">
              <w:t xml:space="preserve"> </w:t>
            </w:r>
            <w:r>
              <w:t>и</w:t>
            </w:r>
            <w:r w:rsidR="00226ED3" w:rsidRPr="00226ED3">
              <w:t xml:space="preserve"> </w:t>
            </w:r>
            <w:r>
              <w:t>потиче</w:t>
            </w:r>
            <w:r w:rsidR="00226ED3" w:rsidRPr="00226ED3">
              <w:t xml:space="preserve"> </w:t>
            </w:r>
            <w:r>
              <w:t>сарадњу</w:t>
            </w:r>
            <w:r w:rsidR="00226ED3" w:rsidRPr="00226ED3">
              <w:t xml:space="preserve"> </w:t>
            </w:r>
            <w:r>
              <w:t>привреде</w:t>
            </w:r>
            <w:r w:rsidR="00226ED3" w:rsidRPr="00226ED3">
              <w:t xml:space="preserve"> </w:t>
            </w:r>
            <w:r>
              <w:t>и</w:t>
            </w:r>
            <w:r w:rsidR="00226ED3" w:rsidRPr="00226ED3">
              <w:t xml:space="preserve"> </w:t>
            </w:r>
            <w:r>
              <w:t>истраживачке</w:t>
            </w:r>
            <w:r w:rsidR="00226ED3" w:rsidRPr="00226ED3">
              <w:t xml:space="preserve"> </w:t>
            </w:r>
            <w:r>
              <w:t>заједнице</w:t>
            </w:r>
            <w:r w:rsidR="00226ED3" w:rsidRPr="00226ED3">
              <w:t xml:space="preserve">, </w:t>
            </w:r>
            <w:r>
              <w:t>те</w:t>
            </w:r>
            <w:r w:rsidR="00226ED3" w:rsidRPr="00226ED3">
              <w:t xml:space="preserve"> </w:t>
            </w:r>
            <w:r>
              <w:t>укључивање</w:t>
            </w:r>
            <w:r w:rsidR="00226ED3" w:rsidRPr="00226ED3">
              <w:t xml:space="preserve"> </w:t>
            </w:r>
            <w:r>
              <w:t>привреде</w:t>
            </w:r>
            <w:r w:rsidR="00226ED3" w:rsidRPr="00226ED3">
              <w:t xml:space="preserve">, </w:t>
            </w:r>
            <w:r>
              <w:t>универзитета</w:t>
            </w:r>
            <w:r w:rsidR="00226ED3" w:rsidRPr="00226ED3">
              <w:t xml:space="preserve"> </w:t>
            </w:r>
            <w:r>
              <w:t>и</w:t>
            </w:r>
            <w:r w:rsidR="00226ED3" w:rsidRPr="00226ED3">
              <w:t xml:space="preserve"> </w:t>
            </w:r>
            <w:r>
              <w:t>научних</w:t>
            </w:r>
            <w:r w:rsidR="00226ED3" w:rsidRPr="00226ED3">
              <w:t xml:space="preserve"> </w:t>
            </w:r>
            <w:r>
              <w:t>установа</w:t>
            </w:r>
            <w:r w:rsidR="00226ED3" w:rsidRPr="00226ED3">
              <w:t xml:space="preserve"> </w:t>
            </w:r>
            <w:r>
              <w:t>у</w:t>
            </w:r>
            <w:r w:rsidR="00226ED3" w:rsidRPr="00226ED3">
              <w:t xml:space="preserve"> </w:t>
            </w:r>
            <w:r>
              <w:t>заједничке</w:t>
            </w:r>
            <w:r w:rsidR="00226ED3" w:rsidRPr="00226ED3">
              <w:t xml:space="preserve"> </w:t>
            </w:r>
            <w:r>
              <w:t>пројекте</w:t>
            </w:r>
            <w:r w:rsidR="00226ED3" w:rsidRPr="00226ED3">
              <w:t xml:space="preserve"> </w:t>
            </w:r>
            <w:r>
              <w:t>и</w:t>
            </w:r>
            <w:r w:rsidR="00226ED3" w:rsidRPr="00226ED3">
              <w:t xml:space="preserve"> </w:t>
            </w:r>
            <w:r>
              <w:t>процесе</w:t>
            </w:r>
            <w:r w:rsidR="00226ED3" w:rsidRPr="00226ED3">
              <w:t xml:space="preserve"> </w:t>
            </w:r>
            <w:r>
              <w:t>паметне</w:t>
            </w:r>
            <w:r w:rsidR="00226ED3" w:rsidRPr="00226ED3">
              <w:t xml:space="preserve"> </w:t>
            </w:r>
            <w:r>
              <w:t>специјализације</w:t>
            </w:r>
            <w:r w:rsidR="00226ED3" w:rsidRPr="00226ED3">
              <w:t xml:space="preserve">. </w:t>
            </w:r>
            <w:r>
              <w:t>Подршка</w:t>
            </w:r>
            <w:r w:rsidR="00226ED3" w:rsidRPr="00226ED3">
              <w:t xml:space="preserve"> </w:t>
            </w:r>
            <w:r>
              <w:t>пројектима</w:t>
            </w:r>
            <w:r w:rsidR="00226ED3" w:rsidRPr="00226ED3">
              <w:t xml:space="preserve"> </w:t>
            </w:r>
            <w:r>
              <w:t>дигиталне</w:t>
            </w:r>
            <w:r w:rsidR="00226ED3" w:rsidRPr="00226ED3">
              <w:t xml:space="preserve"> </w:t>
            </w:r>
            <w:r>
              <w:t>трансформације</w:t>
            </w:r>
            <w:r w:rsidR="00226ED3" w:rsidRPr="00226ED3">
              <w:t xml:space="preserve"> </w:t>
            </w:r>
            <w:r>
              <w:t>у</w:t>
            </w:r>
            <w:r w:rsidR="00226ED3" w:rsidRPr="00226ED3">
              <w:t xml:space="preserve"> </w:t>
            </w:r>
            <w:r>
              <w:t>складу</w:t>
            </w:r>
            <w:r w:rsidR="00226ED3" w:rsidRPr="00226ED3">
              <w:t xml:space="preserve"> </w:t>
            </w:r>
            <w:r>
              <w:t>с</w:t>
            </w:r>
            <w:r w:rsidR="00226ED3" w:rsidRPr="00226ED3">
              <w:t xml:space="preserve"> </w:t>
            </w:r>
            <w:r>
              <w:t>ЕУ</w:t>
            </w:r>
            <w:r w:rsidR="00226ED3" w:rsidRPr="00226ED3">
              <w:t xml:space="preserve"> </w:t>
            </w:r>
            <w:r>
              <w:t>стратегијом</w:t>
            </w:r>
            <w:r w:rsidR="00226ED3" w:rsidRPr="00226ED3">
              <w:t xml:space="preserve">: </w:t>
            </w:r>
            <w:r>
              <w:t>Дигитална</w:t>
            </w:r>
            <w:r w:rsidR="00226ED3" w:rsidRPr="00226ED3">
              <w:t xml:space="preserve"> </w:t>
            </w:r>
            <w:r>
              <w:t>декада</w:t>
            </w:r>
            <w:r w:rsidR="00226ED3" w:rsidRPr="00226ED3">
              <w:t xml:space="preserve"> </w:t>
            </w:r>
            <w:r>
              <w:t>Еуропе</w:t>
            </w:r>
            <w:r w:rsidR="00226ED3" w:rsidRPr="00226ED3">
              <w:t xml:space="preserve">. </w:t>
            </w:r>
            <w:r>
              <w:t>Подршка</w:t>
            </w:r>
            <w:r w:rsidR="00226ED3" w:rsidRPr="00226ED3">
              <w:t xml:space="preserve"> </w:t>
            </w:r>
            <w:r>
              <w:t>пројектима</w:t>
            </w:r>
            <w:r w:rsidR="00226ED3" w:rsidRPr="00226ED3">
              <w:t xml:space="preserve"> </w:t>
            </w:r>
            <w:r>
              <w:t>енергијске</w:t>
            </w:r>
            <w:r w:rsidR="00226ED3" w:rsidRPr="00226ED3">
              <w:t xml:space="preserve"> </w:t>
            </w:r>
            <w:r>
              <w:t>транзиције</w:t>
            </w:r>
            <w:r w:rsidR="00226ED3" w:rsidRPr="00226ED3">
              <w:t xml:space="preserve"> </w:t>
            </w:r>
            <w:r>
              <w:t>у</w:t>
            </w:r>
            <w:r w:rsidR="00226ED3" w:rsidRPr="00226ED3">
              <w:t xml:space="preserve"> </w:t>
            </w:r>
            <w:r>
              <w:t>складу</w:t>
            </w:r>
            <w:r w:rsidR="00226ED3" w:rsidRPr="00226ED3">
              <w:t xml:space="preserve"> </w:t>
            </w:r>
            <w:r>
              <w:t>с</w:t>
            </w:r>
            <w:r w:rsidR="00226ED3" w:rsidRPr="00226ED3">
              <w:t xml:space="preserve"> </w:t>
            </w:r>
            <w:r>
              <w:t>Зеленом</w:t>
            </w:r>
            <w:r w:rsidR="00226ED3" w:rsidRPr="00226ED3">
              <w:t xml:space="preserve"> </w:t>
            </w:r>
            <w:r>
              <w:t>агендом</w:t>
            </w:r>
            <w:r w:rsidR="00226ED3" w:rsidRPr="00226ED3">
              <w:t xml:space="preserve"> </w:t>
            </w:r>
            <w:r>
              <w:t>за</w:t>
            </w:r>
            <w:r w:rsidR="00226ED3" w:rsidRPr="00226ED3">
              <w:t xml:space="preserve"> </w:t>
            </w:r>
            <w:r>
              <w:t>Западни</w:t>
            </w:r>
            <w:r w:rsidR="00226ED3" w:rsidRPr="00226ED3">
              <w:t xml:space="preserve"> </w:t>
            </w:r>
            <w:r>
              <w:t>Балкан</w:t>
            </w:r>
            <w:r w:rsidR="00226ED3" w:rsidRPr="00226ED3">
              <w:t>.</w:t>
            </w:r>
          </w:p>
        </w:tc>
      </w:tr>
      <w:tr w:rsidR="008A43F2" w14:paraId="0C6F348C" w14:textId="77777777" w:rsidTr="00962FDE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8A43F2" w:rsidRDefault="00122D47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1007B6B9" w14:textId="4C72021A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Укупна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вриједност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износи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предвиђени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поједине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програмске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области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најнижи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највиши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финансијски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износ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може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бити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додијељен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поједини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7E33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оквиру</w:t>
            </w:r>
            <w:r w:rsidR="007E33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одређене</w:t>
            </w:r>
            <w:r w:rsidR="007E33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научне</w:t>
            </w:r>
            <w:r w:rsidR="007E33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области</w:t>
            </w:r>
          </w:p>
        </w:tc>
        <w:tc>
          <w:tcPr>
            <w:tcW w:w="6390" w:type="dxa"/>
            <w:vAlign w:val="center"/>
          </w:tcPr>
          <w:p w14:paraId="1321231B" w14:textId="364E8A87" w:rsidR="008A43F2" w:rsidRPr="00226ED3" w:rsidRDefault="00EC6BBA" w:rsidP="00B630E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b/>
                <w:bCs/>
              </w:rPr>
            </w:pPr>
            <w:r>
              <w:rPr>
                <w:b/>
                <w:bCs/>
              </w:rPr>
              <w:t>Укупна</w:t>
            </w:r>
            <w:r w:rsidR="00722A74" w:rsidRPr="00226E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вриједност</w:t>
            </w:r>
            <w:r w:rsidR="00722A74" w:rsidRPr="00226E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722A74" w:rsidRPr="00226ED3">
              <w:rPr>
                <w:b/>
                <w:bCs/>
              </w:rPr>
              <w:t>: 1.</w:t>
            </w:r>
            <w:r w:rsidR="00226ED3" w:rsidRPr="00226ED3">
              <w:rPr>
                <w:b/>
                <w:bCs/>
              </w:rPr>
              <w:t>75</w:t>
            </w:r>
            <w:r w:rsidR="00722A74" w:rsidRPr="00226ED3">
              <w:rPr>
                <w:b/>
                <w:bCs/>
              </w:rPr>
              <w:t xml:space="preserve">0.000,00 </w:t>
            </w:r>
            <w:r>
              <w:rPr>
                <w:b/>
                <w:bCs/>
              </w:rPr>
              <w:t>КМ</w:t>
            </w:r>
          </w:p>
          <w:p w14:paraId="0A1CED81" w14:textId="1C36EF2D" w:rsidR="0025663B" w:rsidRDefault="00EC6BBA" w:rsidP="00B630EA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52" w:hanging="252"/>
            </w:pPr>
            <w:r>
              <w:t>Максималан</w:t>
            </w:r>
            <w:r w:rsidR="00226ED3" w:rsidRPr="00226ED3">
              <w:t xml:space="preserve"> </w:t>
            </w:r>
            <w:r>
              <w:t>одобрени</w:t>
            </w:r>
            <w:r w:rsidR="00226ED3" w:rsidRPr="00226ED3">
              <w:t xml:space="preserve"> </w:t>
            </w:r>
            <w:r>
              <w:t>износ</w:t>
            </w:r>
            <w:r w:rsidR="00226ED3" w:rsidRPr="00226ED3">
              <w:t xml:space="preserve"> </w:t>
            </w:r>
            <w:r>
              <w:t>финансијских</w:t>
            </w:r>
            <w:r w:rsidR="00226ED3" w:rsidRPr="00226ED3">
              <w:t xml:space="preserve"> </w:t>
            </w:r>
            <w:r>
              <w:t>средстава</w:t>
            </w:r>
            <w:r w:rsidR="00226ED3" w:rsidRPr="00226ED3">
              <w:t xml:space="preserve"> </w:t>
            </w:r>
            <w:r>
              <w:t>по</w:t>
            </w:r>
            <w:r w:rsidR="00226ED3" w:rsidRPr="00226ED3">
              <w:t xml:space="preserve"> </w:t>
            </w:r>
            <w:r>
              <w:t>пројекту</w:t>
            </w:r>
            <w:r w:rsidR="00226ED3" w:rsidRPr="00226ED3">
              <w:t xml:space="preserve"> </w:t>
            </w:r>
            <w:r>
              <w:t>је</w:t>
            </w:r>
            <w:r w:rsidR="00226ED3" w:rsidRPr="00226ED3">
              <w:t xml:space="preserve"> </w:t>
            </w:r>
            <w:r w:rsidR="00226ED3" w:rsidRPr="00226ED3">
              <w:rPr>
                <w:b/>
                <w:bCs/>
              </w:rPr>
              <w:t xml:space="preserve">15.000,00 </w:t>
            </w:r>
            <w:r>
              <w:rPr>
                <w:b/>
                <w:bCs/>
              </w:rPr>
              <w:t>КМ</w:t>
            </w:r>
            <w:r w:rsidR="00226ED3" w:rsidRPr="00226ED3">
              <w:t xml:space="preserve"> </w:t>
            </w:r>
            <w:r>
              <w:t>за</w:t>
            </w:r>
            <w:r w:rsidR="00226ED3" w:rsidRPr="00226ED3">
              <w:t xml:space="preserve"> </w:t>
            </w:r>
            <w:r>
              <w:t>пројекте</w:t>
            </w:r>
            <w:r w:rsidR="00226ED3" w:rsidRPr="00226ED3">
              <w:t xml:space="preserve"> </w:t>
            </w:r>
            <w:r>
              <w:t>из</w:t>
            </w:r>
            <w:r w:rsidR="00226ED3" w:rsidRPr="00226ED3">
              <w:t xml:space="preserve"> </w:t>
            </w:r>
            <w:r>
              <w:t>области</w:t>
            </w:r>
            <w:r w:rsidR="00226ED3" w:rsidRPr="00226ED3">
              <w:t xml:space="preserve"> </w:t>
            </w:r>
            <w:r>
              <w:t>друштвених</w:t>
            </w:r>
            <w:r w:rsidR="00226ED3" w:rsidRPr="00226ED3">
              <w:t xml:space="preserve"> </w:t>
            </w:r>
            <w:r>
              <w:t>и</w:t>
            </w:r>
            <w:r w:rsidR="00226ED3" w:rsidRPr="00226ED3">
              <w:t xml:space="preserve"> </w:t>
            </w:r>
            <w:r>
              <w:t>хуманистичких</w:t>
            </w:r>
            <w:r w:rsidR="00226ED3" w:rsidRPr="00226ED3">
              <w:t xml:space="preserve"> </w:t>
            </w:r>
            <w:r>
              <w:t>наука</w:t>
            </w:r>
            <w:r w:rsidR="00226ED3" w:rsidRPr="00226ED3">
              <w:t xml:space="preserve">, </w:t>
            </w:r>
            <w:r>
              <w:t>те</w:t>
            </w:r>
            <w:r w:rsidR="00226ED3" w:rsidRPr="00226ED3">
              <w:t xml:space="preserve"> </w:t>
            </w:r>
            <w:r>
              <w:t>умјетничких</w:t>
            </w:r>
            <w:r w:rsidR="00226ED3" w:rsidRPr="00226ED3">
              <w:t xml:space="preserve"> </w:t>
            </w:r>
            <w:r>
              <w:t>области</w:t>
            </w:r>
            <w:r w:rsidR="00226ED3" w:rsidRPr="00226ED3">
              <w:t>.</w:t>
            </w:r>
          </w:p>
          <w:p w14:paraId="13418E84" w14:textId="182E50A6" w:rsidR="00226ED3" w:rsidRPr="00226ED3" w:rsidRDefault="00EC6BBA" w:rsidP="00B630EA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52" w:hanging="252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Максималан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одобрени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износ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финансијских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средстава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по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пројекту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је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 w:rsidR="00226ED3" w:rsidRPr="00226ED3">
              <w:rPr>
                <w:rFonts w:cstheme="minorHAnsi"/>
                <w:b/>
                <w:bCs/>
                <w:noProof/>
              </w:rPr>
              <w:t xml:space="preserve">30.000,00 </w:t>
            </w:r>
            <w:r>
              <w:rPr>
                <w:rFonts w:cstheme="minorHAnsi"/>
                <w:b/>
                <w:bCs/>
                <w:noProof/>
              </w:rPr>
              <w:t>КМ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за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пројекте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из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области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природних</w:t>
            </w:r>
            <w:r w:rsidR="00226ED3" w:rsidRPr="00226ED3">
              <w:rPr>
                <w:rFonts w:cstheme="minorHAnsi"/>
                <w:noProof/>
              </w:rPr>
              <w:t xml:space="preserve">, </w:t>
            </w:r>
            <w:r>
              <w:rPr>
                <w:rFonts w:cstheme="minorHAnsi"/>
                <w:noProof/>
              </w:rPr>
              <w:t>техничких</w:t>
            </w:r>
            <w:r w:rsidR="00226ED3" w:rsidRPr="00226ED3">
              <w:rPr>
                <w:rFonts w:cstheme="minorHAnsi"/>
                <w:noProof/>
              </w:rPr>
              <w:t xml:space="preserve">, </w:t>
            </w:r>
            <w:r>
              <w:rPr>
                <w:rFonts w:cstheme="minorHAnsi"/>
                <w:noProof/>
              </w:rPr>
              <w:t>биотехничких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наука</w:t>
            </w:r>
            <w:r w:rsidR="00226ED3" w:rsidRPr="00226ED3">
              <w:rPr>
                <w:rFonts w:cstheme="minorHAnsi"/>
                <w:noProof/>
              </w:rPr>
              <w:t xml:space="preserve">, </w:t>
            </w:r>
            <w:r>
              <w:rPr>
                <w:rFonts w:cstheme="minorHAnsi"/>
                <w:noProof/>
              </w:rPr>
              <w:t>те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биомедицине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и</w:t>
            </w:r>
            <w:r w:rsidR="00226ED3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здравства</w:t>
            </w:r>
            <w:r w:rsidR="00226ED3" w:rsidRPr="00226ED3">
              <w:rPr>
                <w:rFonts w:cstheme="minorHAnsi"/>
                <w:noProof/>
              </w:rPr>
              <w:t>.</w:t>
            </w:r>
          </w:p>
          <w:p w14:paraId="12F998FF" w14:textId="62100F9A" w:rsidR="00722A74" w:rsidRPr="00226ED3" w:rsidRDefault="00EC6BBA" w:rsidP="00B630EA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52" w:hanging="252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Уколико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подносилац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апликације</w:t>
            </w:r>
            <w:r w:rsidR="0025663B" w:rsidRPr="00226ED3">
              <w:rPr>
                <w:rFonts w:cstheme="minorHAnsi"/>
                <w:noProof/>
              </w:rPr>
              <w:t xml:space="preserve"> (</w:t>
            </w:r>
            <w:r>
              <w:rPr>
                <w:rFonts w:cstheme="minorHAnsi"/>
                <w:noProof/>
              </w:rPr>
              <w:t>правна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или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физичка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особа</w:t>
            </w:r>
            <w:r w:rsidR="0025663B" w:rsidRPr="00226ED3">
              <w:rPr>
                <w:rFonts w:cstheme="minorHAnsi"/>
                <w:noProof/>
              </w:rPr>
              <w:t xml:space="preserve">) </w:t>
            </w:r>
            <w:r>
              <w:rPr>
                <w:rFonts w:cstheme="minorHAnsi"/>
                <w:noProof/>
              </w:rPr>
              <w:t>који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аплицира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на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неки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од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програма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Јавног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позива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тражи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износ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већи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од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максимално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дозвољеног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по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појединачним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научним</w:t>
            </w:r>
            <w:r w:rsid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областима</w:t>
            </w:r>
            <w:r w:rsidR="0025663B" w:rsidRPr="00226ED3">
              <w:rPr>
                <w:rFonts w:cstheme="minorHAnsi"/>
                <w:noProof/>
              </w:rPr>
              <w:t xml:space="preserve">, </w:t>
            </w:r>
            <w:r>
              <w:rPr>
                <w:rFonts w:cstheme="minorHAnsi"/>
                <w:noProof/>
              </w:rPr>
              <w:t>његова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пријава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се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неће</w:t>
            </w:r>
            <w:r w:rsidR="0025663B" w:rsidRPr="00226ED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разматрати</w:t>
            </w:r>
            <w:r w:rsidR="0025663B" w:rsidRPr="00226ED3">
              <w:rPr>
                <w:rFonts w:cstheme="minorHAnsi"/>
                <w:noProof/>
              </w:rPr>
              <w:t>.</w:t>
            </w: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Default="00122D47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2AF1AAAC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Потенцијални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пријава</w:t>
            </w:r>
            <w:r w:rsidR="008A43F2" w:rsidRPr="00102F1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циљна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група</w:t>
            </w:r>
            <w:r w:rsidR="008A43F2" w:rsidRPr="00102F11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имају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право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поднесу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пријаву</w:t>
            </w:r>
          </w:p>
        </w:tc>
        <w:tc>
          <w:tcPr>
            <w:tcW w:w="6390" w:type="dxa"/>
            <w:vAlign w:val="center"/>
          </w:tcPr>
          <w:p w14:paraId="6677C825" w14:textId="5C7A0E99" w:rsidR="00E14536" w:rsidRPr="00226ED3" w:rsidRDefault="00EC6BBA" w:rsidP="00E14536">
            <w:pPr>
              <w:pStyle w:val="ListParagraph"/>
              <w:ind w:left="72"/>
            </w:pPr>
            <w:r>
              <w:t>Корисници</w:t>
            </w:r>
            <w:r w:rsidR="00226ED3" w:rsidRPr="00226ED3">
              <w:t xml:space="preserve"> </w:t>
            </w:r>
            <w:r>
              <w:t>средстава</w:t>
            </w:r>
            <w:r w:rsidR="00226ED3" w:rsidRPr="00226ED3">
              <w:t xml:space="preserve"> </w:t>
            </w:r>
            <w:r>
              <w:t>су</w:t>
            </w:r>
            <w:r w:rsidR="00226ED3" w:rsidRPr="00226ED3">
              <w:t xml:space="preserve">: </w:t>
            </w:r>
            <w:r>
              <w:t>Високошколске</w:t>
            </w:r>
            <w:r w:rsidR="00226ED3" w:rsidRPr="00226ED3">
              <w:t xml:space="preserve"> </w:t>
            </w:r>
            <w:r>
              <w:t>установе</w:t>
            </w:r>
            <w:r w:rsidR="00D03455">
              <w:t xml:space="preserve"> (</w:t>
            </w:r>
            <w:r>
              <w:t>универзитети</w:t>
            </w:r>
            <w:r w:rsidR="00D03455">
              <w:t>)</w:t>
            </w:r>
            <w:r w:rsidR="00226ED3" w:rsidRPr="00226ED3">
              <w:t xml:space="preserve">, </w:t>
            </w:r>
            <w:r>
              <w:t>научно</w:t>
            </w:r>
            <w:r w:rsidR="00226ED3" w:rsidRPr="00226ED3">
              <w:t>-</w:t>
            </w:r>
            <w:r>
              <w:t>истраживачке</w:t>
            </w:r>
            <w:r w:rsidR="00226ED3" w:rsidRPr="00226ED3">
              <w:t xml:space="preserve"> </w:t>
            </w:r>
            <w:r>
              <w:t>организације</w:t>
            </w:r>
            <w:r w:rsidR="00226ED3" w:rsidRPr="00226ED3">
              <w:t xml:space="preserve"> </w:t>
            </w:r>
            <w:r>
              <w:t>засноване</w:t>
            </w:r>
            <w:r w:rsidR="00226ED3" w:rsidRPr="00226ED3">
              <w:t xml:space="preserve"> </w:t>
            </w:r>
            <w:r>
              <w:t>према</w:t>
            </w:r>
            <w:r w:rsidR="00226ED3" w:rsidRPr="00226ED3">
              <w:t xml:space="preserve"> </w:t>
            </w:r>
            <w:r>
              <w:t>законима</w:t>
            </w:r>
            <w:r w:rsidR="00226ED3" w:rsidRPr="00226ED3">
              <w:t xml:space="preserve"> </w:t>
            </w:r>
            <w:r>
              <w:t>о</w:t>
            </w:r>
            <w:r w:rsidR="00226ED3" w:rsidRPr="00226ED3">
              <w:t xml:space="preserve"> </w:t>
            </w:r>
            <w:r>
              <w:t>научно</w:t>
            </w:r>
            <w:r w:rsidR="00226ED3" w:rsidRPr="00226ED3">
              <w:t>-</w:t>
            </w:r>
            <w:r>
              <w:t>истраживачкој</w:t>
            </w:r>
            <w:r w:rsidR="00226ED3" w:rsidRPr="00226ED3">
              <w:t xml:space="preserve"> </w:t>
            </w:r>
            <w:r>
              <w:t>дјелатности</w:t>
            </w:r>
            <w:r w:rsidR="00226ED3" w:rsidRPr="00226ED3">
              <w:t>.</w:t>
            </w:r>
          </w:p>
        </w:tc>
      </w:tr>
      <w:tr w:rsidR="008A43F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8A43F2" w:rsidRDefault="00122D47" w:rsidP="00531CAA">
            <w:r>
              <w:t>5</w:t>
            </w:r>
          </w:p>
        </w:tc>
        <w:tc>
          <w:tcPr>
            <w:tcW w:w="3202" w:type="dxa"/>
            <w:vAlign w:val="center"/>
          </w:tcPr>
          <w:p w14:paraId="4D1182EE" w14:textId="7080A37E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Прихватљиве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активности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провођење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  <w:tc>
          <w:tcPr>
            <w:tcW w:w="6390" w:type="dxa"/>
            <w:vAlign w:val="center"/>
          </w:tcPr>
          <w:p w14:paraId="33D8B1DD" w14:textId="13EBBF03" w:rsidR="008A43F2" w:rsidRDefault="00EC6BBA" w:rsidP="00531CAA">
            <w:r>
              <w:t>Искључиво</w:t>
            </w:r>
            <w:r w:rsidR="00CD3D81">
              <w:t xml:space="preserve"> </w:t>
            </w:r>
            <w:r>
              <w:t>активности</w:t>
            </w:r>
            <w:r w:rsidR="00456BE5">
              <w:t xml:space="preserve"> </w:t>
            </w:r>
            <w:r>
              <w:t>у</w:t>
            </w:r>
            <w:r w:rsidR="00456BE5">
              <w:t xml:space="preserve"> </w:t>
            </w:r>
            <w:r>
              <w:t>циљу</w:t>
            </w:r>
            <w:r w:rsidR="00456BE5">
              <w:t xml:space="preserve"> </w:t>
            </w:r>
            <w:r>
              <w:t>реализације</w:t>
            </w:r>
            <w:r w:rsidR="00456BE5">
              <w:t xml:space="preserve"> </w:t>
            </w:r>
            <w:r>
              <w:t>пројекта</w:t>
            </w:r>
            <w:r w:rsidR="00456BE5">
              <w:t>,</w:t>
            </w:r>
            <w:r w:rsidR="00C353B4">
              <w:t xml:space="preserve"> </w:t>
            </w:r>
            <w:r>
              <w:t>које</w:t>
            </w:r>
            <w:r w:rsidR="00C353B4">
              <w:t xml:space="preserve"> </w:t>
            </w:r>
            <w:r>
              <w:t>су</w:t>
            </w:r>
            <w:r w:rsidR="00C353B4">
              <w:t xml:space="preserve"> </w:t>
            </w:r>
            <w:r>
              <w:t>наведене</w:t>
            </w:r>
            <w:r w:rsidR="00C353B4">
              <w:t xml:space="preserve"> </w:t>
            </w:r>
            <w:r>
              <w:t>у</w:t>
            </w:r>
            <w:r w:rsidR="00C353B4">
              <w:t xml:space="preserve"> </w:t>
            </w:r>
            <w:r>
              <w:t>пројектном</w:t>
            </w:r>
            <w:r w:rsidR="00C353B4">
              <w:t xml:space="preserve"> </w:t>
            </w:r>
            <w:r>
              <w:t>плану</w:t>
            </w:r>
            <w:r w:rsidR="00C353B4">
              <w:t>.</w:t>
            </w:r>
          </w:p>
        </w:tc>
      </w:tr>
      <w:tr w:rsidR="008A43F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8A43F2" w:rsidRDefault="00122D47" w:rsidP="00531CAA">
            <w:r>
              <w:t>6</w:t>
            </w:r>
          </w:p>
        </w:tc>
        <w:tc>
          <w:tcPr>
            <w:tcW w:w="3202" w:type="dxa"/>
            <w:vAlign w:val="center"/>
          </w:tcPr>
          <w:p w14:paraId="04ACFF50" w14:textId="707B24C9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Прихватљиви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трошкови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могу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финансирати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додијељеним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средствима</w:t>
            </w:r>
          </w:p>
        </w:tc>
        <w:tc>
          <w:tcPr>
            <w:tcW w:w="6390" w:type="dxa"/>
            <w:vAlign w:val="center"/>
          </w:tcPr>
          <w:p w14:paraId="3C295171" w14:textId="76778535" w:rsidR="00E14536" w:rsidRDefault="00EC6BBA" w:rsidP="00B630EA">
            <w:pPr>
              <w:pStyle w:val="ListParagraph"/>
              <w:numPr>
                <w:ilvl w:val="0"/>
                <w:numId w:val="15"/>
              </w:numPr>
              <w:ind w:left="342" w:hanging="252"/>
            </w:pPr>
            <w:r>
              <w:t>Средствима</w:t>
            </w:r>
            <w:r w:rsidR="00E14536">
              <w:t xml:space="preserve"> </w:t>
            </w:r>
            <w:r>
              <w:t>додијељених</w:t>
            </w:r>
            <w:r w:rsidR="00E14536">
              <w:t xml:space="preserve"> </w:t>
            </w:r>
            <w:r>
              <w:t>од</w:t>
            </w:r>
            <w:r w:rsidR="00E14536">
              <w:t xml:space="preserve"> </w:t>
            </w:r>
            <w:r>
              <w:t>стране</w:t>
            </w:r>
            <w:r w:rsidR="00E14536">
              <w:t xml:space="preserve"> </w:t>
            </w:r>
            <w:r>
              <w:t>ФМОН</w:t>
            </w:r>
            <w:r w:rsidR="00E14536">
              <w:t xml:space="preserve"> </w:t>
            </w:r>
            <w:r>
              <w:t>могуће</w:t>
            </w:r>
            <w:r w:rsidR="00E14536">
              <w:t xml:space="preserve"> </w:t>
            </w:r>
            <w:r>
              <w:t>је</w:t>
            </w:r>
            <w:r w:rsidR="00E14536">
              <w:t xml:space="preserve"> </w:t>
            </w:r>
            <w:r>
              <w:t>финансирати</w:t>
            </w:r>
            <w:r w:rsidR="00E14536">
              <w:t xml:space="preserve"> </w:t>
            </w:r>
            <w:r>
              <w:t>искључиво</w:t>
            </w:r>
            <w:r w:rsidR="00E14536">
              <w:t xml:space="preserve"> </w:t>
            </w:r>
            <w:r>
              <w:t>директне</w:t>
            </w:r>
            <w:r w:rsidR="00E14536">
              <w:t xml:space="preserve"> </w:t>
            </w:r>
            <w:r>
              <w:t>трошкове</w:t>
            </w:r>
            <w:r w:rsidR="00E14536">
              <w:t xml:space="preserve"> </w:t>
            </w:r>
            <w:r>
              <w:t>пројеката</w:t>
            </w:r>
            <w:r w:rsidR="00E14536">
              <w:t>.</w:t>
            </w:r>
          </w:p>
          <w:p w14:paraId="18262269" w14:textId="5AD75982" w:rsidR="00E14536" w:rsidRDefault="00EC6BBA" w:rsidP="00B630EA">
            <w:pPr>
              <w:pStyle w:val="ListParagraph"/>
              <w:numPr>
                <w:ilvl w:val="0"/>
                <w:numId w:val="15"/>
              </w:numPr>
              <w:ind w:left="342" w:hanging="252"/>
            </w:pPr>
            <w:r>
              <w:t>Директни</w:t>
            </w:r>
            <w:r w:rsidR="00E14536">
              <w:t xml:space="preserve"> </w:t>
            </w:r>
            <w:r>
              <w:t>трошкови</w:t>
            </w:r>
            <w:r w:rsidR="00E14536">
              <w:t xml:space="preserve"> </w:t>
            </w:r>
            <w:r>
              <w:t>су</w:t>
            </w:r>
            <w:r w:rsidR="00E14536">
              <w:t xml:space="preserve"> </w:t>
            </w:r>
            <w:r>
              <w:t>они</w:t>
            </w:r>
            <w:r w:rsidR="00E14536">
              <w:t xml:space="preserve"> </w:t>
            </w:r>
            <w:r>
              <w:t>који</w:t>
            </w:r>
            <w:r w:rsidR="00E14536">
              <w:t xml:space="preserve"> </w:t>
            </w:r>
            <w:r>
              <w:t>су</w:t>
            </w:r>
            <w:r w:rsidR="00E14536">
              <w:t xml:space="preserve"> </w:t>
            </w:r>
            <w:r>
              <w:t>везани</w:t>
            </w:r>
            <w:r w:rsidR="00E14536">
              <w:t xml:space="preserve"> </w:t>
            </w:r>
            <w:r>
              <w:t>за</w:t>
            </w:r>
            <w:r w:rsidR="00E14536">
              <w:t xml:space="preserve"> </w:t>
            </w:r>
            <w:r>
              <w:t>процес</w:t>
            </w:r>
            <w:r w:rsidR="00E14536">
              <w:t xml:space="preserve"> </w:t>
            </w:r>
            <w:r>
              <w:t>прикупљања</w:t>
            </w:r>
            <w:r w:rsidR="00E14536">
              <w:t xml:space="preserve">, </w:t>
            </w:r>
            <w:r>
              <w:t>анализе</w:t>
            </w:r>
            <w:r w:rsidR="00E14536">
              <w:t xml:space="preserve"> </w:t>
            </w:r>
            <w:r>
              <w:t>и</w:t>
            </w:r>
            <w:r w:rsidR="00E14536">
              <w:t xml:space="preserve"> </w:t>
            </w:r>
            <w:r>
              <w:t>презентације</w:t>
            </w:r>
            <w:r w:rsidR="00E14536">
              <w:t xml:space="preserve"> </w:t>
            </w:r>
            <w:r>
              <w:t>података</w:t>
            </w:r>
            <w:r w:rsidR="00E14536">
              <w:t xml:space="preserve">. </w:t>
            </w:r>
            <w:r>
              <w:t>То</w:t>
            </w:r>
            <w:r w:rsidR="00E14536">
              <w:t xml:space="preserve"> </w:t>
            </w:r>
            <w:r>
              <w:t>су</w:t>
            </w:r>
            <w:r w:rsidR="00E14536">
              <w:t xml:space="preserve"> </w:t>
            </w:r>
            <w:r>
              <w:t>трошкови</w:t>
            </w:r>
            <w:r w:rsidR="00E14536">
              <w:t xml:space="preserve"> </w:t>
            </w:r>
            <w:r>
              <w:t>који</w:t>
            </w:r>
            <w:r w:rsidR="00E14536">
              <w:t xml:space="preserve"> </w:t>
            </w:r>
            <w:r>
              <w:t>настају</w:t>
            </w:r>
            <w:r w:rsidR="00E14536">
              <w:t xml:space="preserve"> </w:t>
            </w:r>
            <w:r>
              <w:t>као</w:t>
            </w:r>
            <w:r w:rsidR="00E14536">
              <w:t xml:space="preserve"> </w:t>
            </w:r>
            <w:r>
              <w:t>директна</w:t>
            </w:r>
            <w:r w:rsidR="00E14536">
              <w:t xml:space="preserve"> </w:t>
            </w:r>
            <w:r>
              <w:t>посљедица</w:t>
            </w:r>
            <w:r w:rsidR="00E14536">
              <w:t xml:space="preserve"> </w:t>
            </w:r>
            <w:r>
              <w:t>научноистраживачке</w:t>
            </w:r>
            <w:r w:rsidR="00E14536">
              <w:t xml:space="preserve"> </w:t>
            </w:r>
            <w:r>
              <w:t>или</w:t>
            </w:r>
            <w:r w:rsidR="00E14536">
              <w:t xml:space="preserve"> </w:t>
            </w:r>
            <w:r>
              <w:t>умјетничке</w:t>
            </w:r>
            <w:r w:rsidR="00E14536">
              <w:t xml:space="preserve"> </w:t>
            </w:r>
            <w:r>
              <w:t>активности</w:t>
            </w:r>
            <w:r w:rsidR="00E14536">
              <w:t xml:space="preserve"> </w:t>
            </w:r>
            <w:r>
              <w:t>и</w:t>
            </w:r>
            <w:r w:rsidR="00E14536">
              <w:t xml:space="preserve"> </w:t>
            </w:r>
            <w:r>
              <w:t>неопходни</w:t>
            </w:r>
            <w:r w:rsidR="00E14536">
              <w:t xml:space="preserve"> </w:t>
            </w:r>
            <w:r>
              <w:t>су</w:t>
            </w:r>
            <w:r w:rsidR="00E14536">
              <w:t xml:space="preserve"> </w:t>
            </w:r>
            <w:r>
              <w:t>за</w:t>
            </w:r>
            <w:r w:rsidR="00E14536">
              <w:t xml:space="preserve"> </w:t>
            </w:r>
            <w:r>
              <w:t>реализацију</w:t>
            </w:r>
            <w:r w:rsidR="00E14536">
              <w:t xml:space="preserve"> </w:t>
            </w:r>
            <w:r>
              <w:t>пројекта</w:t>
            </w:r>
            <w:r w:rsidR="00E14536">
              <w:t xml:space="preserve">. </w:t>
            </w:r>
          </w:p>
          <w:p w14:paraId="0A02DF21" w14:textId="7C0D5F20" w:rsidR="00E14536" w:rsidRDefault="00EC6BBA" w:rsidP="00B630EA">
            <w:pPr>
              <w:pStyle w:val="ListParagraph"/>
              <w:numPr>
                <w:ilvl w:val="0"/>
                <w:numId w:val="15"/>
              </w:numPr>
              <w:ind w:left="342" w:hanging="252"/>
            </w:pPr>
            <w:r>
              <w:lastRenderedPageBreak/>
              <w:t>У</w:t>
            </w:r>
            <w:r w:rsidR="00E14536">
              <w:t xml:space="preserve"> </w:t>
            </w:r>
            <w:r>
              <w:t>директне</w:t>
            </w:r>
            <w:r w:rsidR="00E14536">
              <w:t xml:space="preserve"> </w:t>
            </w:r>
            <w:r>
              <w:t>трошкове</w:t>
            </w:r>
            <w:r w:rsidR="00E14536">
              <w:t xml:space="preserve"> </w:t>
            </w:r>
            <w:r>
              <w:t>се</w:t>
            </w:r>
            <w:r w:rsidR="00E14536">
              <w:t xml:space="preserve"> </w:t>
            </w:r>
            <w:r>
              <w:t>убрајају</w:t>
            </w:r>
            <w:r w:rsidR="00E14536">
              <w:t>:</w:t>
            </w:r>
          </w:p>
          <w:p w14:paraId="2B36A552" w14:textId="3A511962" w:rsidR="00E14536" w:rsidRDefault="00EC6BBA" w:rsidP="00B630EA">
            <w:pPr>
              <w:pStyle w:val="ListParagraph"/>
              <w:ind w:left="612" w:hanging="270"/>
            </w:pPr>
            <w:r>
              <w:t>а</w:t>
            </w:r>
            <w:r w:rsidR="00E14536">
              <w:t>)</w:t>
            </w:r>
            <w:r w:rsidR="00E14536">
              <w:tab/>
            </w:r>
            <w:r>
              <w:t>трошкови</w:t>
            </w:r>
            <w:r w:rsidR="00E14536">
              <w:t xml:space="preserve"> </w:t>
            </w:r>
            <w:r>
              <w:t>радне</w:t>
            </w:r>
            <w:r w:rsidR="00E14536">
              <w:t xml:space="preserve"> </w:t>
            </w:r>
            <w:r>
              <w:t>снаге</w:t>
            </w:r>
            <w:r w:rsidR="00E14536">
              <w:t xml:space="preserve"> (</w:t>
            </w:r>
            <w:r>
              <w:t>накнаде</w:t>
            </w:r>
            <w:r w:rsidR="00E14536">
              <w:t xml:space="preserve"> </w:t>
            </w:r>
            <w:r>
              <w:t>члановима</w:t>
            </w:r>
            <w:r w:rsidR="00E14536">
              <w:t xml:space="preserve"> </w:t>
            </w:r>
            <w:r>
              <w:t>пројектног</w:t>
            </w:r>
            <w:r w:rsidR="00E14536">
              <w:t xml:space="preserve"> </w:t>
            </w:r>
            <w:r>
              <w:t>тима</w:t>
            </w:r>
            <w:r w:rsidR="00E14536">
              <w:t xml:space="preserve">), </w:t>
            </w:r>
          </w:p>
          <w:p w14:paraId="6A70F455" w14:textId="5945D5DA" w:rsidR="00E14536" w:rsidRDefault="00EC6BBA" w:rsidP="00B630EA">
            <w:pPr>
              <w:pStyle w:val="ListParagraph"/>
              <w:ind w:left="612" w:hanging="270"/>
            </w:pPr>
            <w:r>
              <w:t>б</w:t>
            </w:r>
            <w:r w:rsidR="00E14536">
              <w:t>)</w:t>
            </w:r>
            <w:r w:rsidR="00E14536">
              <w:tab/>
            </w:r>
            <w:r>
              <w:t>трошкови</w:t>
            </w:r>
            <w:r w:rsidR="00E14536">
              <w:t xml:space="preserve"> </w:t>
            </w:r>
            <w:r>
              <w:t>опреме</w:t>
            </w:r>
            <w:r w:rsidR="00E14536">
              <w:t xml:space="preserve"> (</w:t>
            </w:r>
            <w:r>
              <w:t>рачунари</w:t>
            </w:r>
            <w:r w:rsidR="00E14536">
              <w:t xml:space="preserve">, </w:t>
            </w:r>
            <w:r>
              <w:t>апарати</w:t>
            </w:r>
            <w:r w:rsidR="00E14536">
              <w:t xml:space="preserve">, </w:t>
            </w:r>
            <w:r>
              <w:t>инструменти</w:t>
            </w:r>
            <w:r w:rsidR="00E14536">
              <w:t xml:space="preserve">, </w:t>
            </w:r>
            <w:r>
              <w:t>софтвери</w:t>
            </w:r>
            <w:r w:rsidR="00E14536">
              <w:t xml:space="preserve">, </w:t>
            </w:r>
            <w:r>
              <w:t>лиценце</w:t>
            </w:r>
            <w:r w:rsidR="00E14536">
              <w:t xml:space="preserve">, </w:t>
            </w:r>
            <w:r>
              <w:t>итд</w:t>
            </w:r>
            <w:r w:rsidR="00E14536">
              <w:t xml:space="preserve">.), </w:t>
            </w:r>
          </w:p>
          <w:p w14:paraId="456B5568" w14:textId="4450563B" w:rsidR="00E14536" w:rsidRDefault="00EC6BBA" w:rsidP="00F53D5A">
            <w:pPr>
              <w:pStyle w:val="ListParagraph"/>
              <w:ind w:left="612" w:hanging="270"/>
            </w:pPr>
            <w:r>
              <w:t>ц</w:t>
            </w:r>
            <w:r w:rsidR="00E14536">
              <w:t>)</w:t>
            </w:r>
            <w:r w:rsidR="00E14536">
              <w:tab/>
            </w:r>
            <w:r>
              <w:t>трошкови</w:t>
            </w:r>
            <w:r w:rsidR="00E14536">
              <w:t xml:space="preserve"> </w:t>
            </w:r>
            <w:r>
              <w:t>материјала</w:t>
            </w:r>
            <w:r w:rsidR="00E14536">
              <w:t xml:space="preserve"> (</w:t>
            </w:r>
            <w:r>
              <w:t>трошак</w:t>
            </w:r>
            <w:r w:rsidR="00E14536">
              <w:t xml:space="preserve"> </w:t>
            </w:r>
            <w:r>
              <w:t>набаве</w:t>
            </w:r>
            <w:r w:rsidR="00E14536">
              <w:t xml:space="preserve"> </w:t>
            </w:r>
            <w:r>
              <w:t>потрошних</w:t>
            </w:r>
            <w:r w:rsidR="00E14536">
              <w:t xml:space="preserve"> </w:t>
            </w:r>
            <w:r>
              <w:t>материјала</w:t>
            </w:r>
            <w:r w:rsidR="00E14536">
              <w:t xml:space="preserve"> </w:t>
            </w:r>
            <w:r>
              <w:t>неопходних</w:t>
            </w:r>
            <w:r w:rsidR="00E14536">
              <w:t xml:space="preserve"> </w:t>
            </w:r>
            <w:r>
              <w:t>за</w:t>
            </w:r>
            <w:r w:rsidR="00F53D5A">
              <w:t xml:space="preserve"> </w:t>
            </w:r>
            <w:r>
              <w:t>истраживачки</w:t>
            </w:r>
            <w:r w:rsidR="00E14536">
              <w:t xml:space="preserve"> </w:t>
            </w:r>
            <w:r>
              <w:t>пројекат</w:t>
            </w:r>
            <w:r w:rsidR="00E14536">
              <w:t xml:space="preserve"> </w:t>
            </w:r>
            <w:r>
              <w:t>као</w:t>
            </w:r>
            <w:r w:rsidR="00E14536">
              <w:t xml:space="preserve"> </w:t>
            </w:r>
            <w:r>
              <w:t>што</w:t>
            </w:r>
            <w:r w:rsidR="00E14536">
              <w:t xml:space="preserve"> </w:t>
            </w:r>
            <w:r>
              <w:t>су</w:t>
            </w:r>
            <w:r w:rsidR="00E14536">
              <w:t xml:space="preserve"> </w:t>
            </w:r>
            <w:r>
              <w:t>хемикалије</w:t>
            </w:r>
            <w:r w:rsidR="00E14536">
              <w:t xml:space="preserve">, </w:t>
            </w:r>
            <w:r>
              <w:t>реагенси</w:t>
            </w:r>
            <w:r w:rsidR="00E14536">
              <w:t xml:space="preserve">, </w:t>
            </w:r>
            <w:r>
              <w:t>узорци</w:t>
            </w:r>
            <w:r w:rsidR="00E14536">
              <w:t xml:space="preserve">, </w:t>
            </w:r>
            <w:r>
              <w:t>и</w:t>
            </w:r>
            <w:r w:rsidR="00E14536">
              <w:t xml:space="preserve"> </w:t>
            </w:r>
            <w:r>
              <w:t>остали</w:t>
            </w:r>
            <w:r w:rsidR="00E14536">
              <w:t xml:space="preserve"> </w:t>
            </w:r>
            <w:r>
              <w:t>материјали</w:t>
            </w:r>
            <w:r w:rsidR="00E14536">
              <w:t xml:space="preserve">), </w:t>
            </w:r>
          </w:p>
          <w:p w14:paraId="41B8635A" w14:textId="0E0F8A34" w:rsidR="00E14536" w:rsidRDefault="00EC6BBA" w:rsidP="00B630EA">
            <w:pPr>
              <w:pStyle w:val="ListParagraph"/>
              <w:ind w:left="612" w:hanging="270"/>
            </w:pPr>
            <w:r>
              <w:t>е</w:t>
            </w:r>
            <w:r w:rsidR="00E14536">
              <w:t>)</w:t>
            </w:r>
            <w:r w:rsidR="00E14536">
              <w:tab/>
            </w:r>
            <w:r>
              <w:t>путни</w:t>
            </w:r>
            <w:r w:rsidR="00E14536">
              <w:t xml:space="preserve"> </w:t>
            </w:r>
            <w:r>
              <w:t>трошкови</w:t>
            </w:r>
            <w:r w:rsidR="00E14536">
              <w:t xml:space="preserve"> (</w:t>
            </w:r>
            <w:r>
              <w:t>трошкови</w:t>
            </w:r>
            <w:r w:rsidR="00E14536">
              <w:t xml:space="preserve"> </w:t>
            </w:r>
            <w:r>
              <w:t>путовања</w:t>
            </w:r>
            <w:r w:rsidR="00E14536">
              <w:t xml:space="preserve"> </w:t>
            </w:r>
            <w:r>
              <w:t>и</w:t>
            </w:r>
            <w:r w:rsidR="00E14536">
              <w:t xml:space="preserve"> </w:t>
            </w:r>
            <w:r>
              <w:t>смјештаја</w:t>
            </w:r>
            <w:r w:rsidR="00E14536">
              <w:t xml:space="preserve"> </w:t>
            </w:r>
            <w:r>
              <w:t>настали</w:t>
            </w:r>
            <w:r w:rsidR="00E14536">
              <w:t xml:space="preserve"> </w:t>
            </w:r>
            <w:r>
              <w:t>у</w:t>
            </w:r>
            <w:r w:rsidR="00E14536">
              <w:t xml:space="preserve"> </w:t>
            </w:r>
            <w:r>
              <w:t>оквиру</w:t>
            </w:r>
            <w:r w:rsidR="00E14536">
              <w:t xml:space="preserve"> </w:t>
            </w:r>
            <w:r>
              <w:t>прикупљања</w:t>
            </w:r>
            <w:r w:rsidR="00E14536">
              <w:t xml:space="preserve"> </w:t>
            </w:r>
            <w:r>
              <w:t>података</w:t>
            </w:r>
            <w:r w:rsidR="00E14536">
              <w:t>),</w:t>
            </w:r>
          </w:p>
          <w:p w14:paraId="3C6446B8" w14:textId="4CF109BA" w:rsidR="008A43F2" w:rsidRDefault="00EC6BBA" w:rsidP="00B630EA">
            <w:pPr>
              <w:pStyle w:val="ListParagraph"/>
              <w:ind w:left="612" w:hanging="270"/>
            </w:pPr>
            <w:r>
              <w:t>ф</w:t>
            </w:r>
            <w:r w:rsidR="00E14536">
              <w:t>)</w:t>
            </w:r>
            <w:r w:rsidR="00E14536">
              <w:tab/>
            </w:r>
            <w:r>
              <w:t>трошкови</w:t>
            </w:r>
            <w:r w:rsidR="00E14536">
              <w:t xml:space="preserve"> </w:t>
            </w:r>
            <w:r>
              <w:t>објављивања</w:t>
            </w:r>
            <w:r w:rsidR="00E14536">
              <w:t xml:space="preserve"> </w:t>
            </w:r>
            <w:r>
              <w:t>резултата</w:t>
            </w:r>
            <w:r w:rsidR="00E14536">
              <w:t xml:space="preserve"> </w:t>
            </w:r>
            <w:r>
              <w:t>истраживања</w:t>
            </w:r>
            <w:r w:rsidR="00E14536">
              <w:t xml:space="preserve"> (</w:t>
            </w:r>
            <w:r>
              <w:t>трошак</w:t>
            </w:r>
            <w:r w:rsidR="00E14536">
              <w:t xml:space="preserve"> </w:t>
            </w:r>
            <w:r>
              <w:t>котизације</w:t>
            </w:r>
            <w:r w:rsidR="00E14536">
              <w:t xml:space="preserve"> </w:t>
            </w:r>
            <w:r>
              <w:t>конференције</w:t>
            </w:r>
            <w:r w:rsidR="00E14536">
              <w:t xml:space="preserve">, </w:t>
            </w:r>
            <w:r>
              <w:t>трошак</w:t>
            </w:r>
            <w:r w:rsidR="00E14536">
              <w:t xml:space="preserve"> </w:t>
            </w:r>
            <w:r>
              <w:t>објављивања</w:t>
            </w:r>
            <w:r w:rsidR="00E14536">
              <w:t xml:space="preserve"> </w:t>
            </w:r>
            <w:r>
              <w:t>рада</w:t>
            </w:r>
            <w:r w:rsidR="00E14536">
              <w:t xml:space="preserve"> </w:t>
            </w:r>
            <w:r>
              <w:t>у</w:t>
            </w:r>
            <w:r w:rsidR="00E14536">
              <w:t xml:space="preserve"> </w:t>
            </w:r>
            <w:r>
              <w:t>међународним</w:t>
            </w:r>
            <w:r w:rsidR="00E14536">
              <w:t xml:space="preserve"> </w:t>
            </w:r>
            <w:r>
              <w:t>цитатним</w:t>
            </w:r>
            <w:r w:rsidR="00E14536">
              <w:t xml:space="preserve"> </w:t>
            </w:r>
            <w:r>
              <w:t>базама</w:t>
            </w:r>
            <w:r w:rsidR="00E14536">
              <w:t xml:space="preserve"> </w:t>
            </w:r>
            <w:r>
              <w:t>или</w:t>
            </w:r>
            <w:r w:rsidR="00E14536">
              <w:t xml:space="preserve"> </w:t>
            </w:r>
            <w:r>
              <w:t>трошкови</w:t>
            </w:r>
            <w:r w:rsidR="00E14536">
              <w:t xml:space="preserve"> </w:t>
            </w:r>
            <w:r>
              <w:t>објављивања</w:t>
            </w:r>
            <w:r w:rsidR="00E14536">
              <w:t xml:space="preserve"> </w:t>
            </w:r>
            <w:r>
              <w:t>књига</w:t>
            </w:r>
            <w:r w:rsidR="00E14536">
              <w:t xml:space="preserve">, </w:t>
            </w:r>
            <w:r>
              <w:t>што</w:t>
            </w:r>
            <w:r w:rsidR="00E14536">
              <w:t xml:space="preserve"> </w:t>
            </w:r>
            <w:r>
              <w:t>подразумијева</w:t>
            </w:r>
            <w:r w:rsidR="00E14536">
              <w:t xml:space="preserve"> </w:t>
            </w:r>
            <w:r>
              <w:t>трошкове</w:t>
            </w:r>
            <w:r w:rsidR="00E14536">
              <w:t xml:space="preserve"> </w:t>
            </w:r>
            <w:r>
              <w:t>лекторисања</w:t>
            </w:r>
            <w:r w:rsidR="00E14536">
              <w:t xml:space="preserve">, </w:t>
            </w:r>
            <w:r>
              <w:t>техничког</w:t>
            </w:r>
            <w:r w:rsidR="00E14536">
              <w:t xml:space="preserve"> </w:t>
            </w:r>
            <w:r>
              <w:t>прелома</w:t>
            </w:r>
            <w:r w:rsidR="00E14536">
              <w:t xml:space="preserve"> </w:t>
            </w:r>
            <w:r>
              <w:t>и</w:t>
            </w:r>
            <w:r w:rsidR="00E14536">
              <w:t xml:space="preserve"> </w:t>
            </w:r>
            <w:r>
              <w:t>штампања</w:t>
            </w:r>
            <w:r w:rsidR="00E14536">
              <w:t xml:space="preserve"> </w:t>
            </w:r>
            <w:r>
              <w:t>књиге</w:t>
            </w:r>
            <w:r w:rsidR="00E14536">
              <w:t>).</w:t>
            </w:r>
          </w:p>
          <w:p w14:paraId="2666B051" w14:textId="77777777" w:rsidR="007948B6" w:rsidRDefault="007948B6" w:rsidP="00B630EA">
            <w:pPr>
              <w:pStyle w:val="ListParagraph"/>
              <w:ind w:left="612" w:hanging="270"/>
            </w:pPr>
          </w:p>
          <w:p w14:paraId="3DE96F7A" w14:textId="4F4BF385" w:rsidR="007948B6" w:rsidRDefault="00EC6BBA" w:rsidP="00353E6C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>Алокација</w:t>
            </w:r>
            <w:r w:rsidR="007948B6">
              <w:t xml:space="preserve"> </w:t>
            </w:r>
            <w:r>
              <w:t>средстава</w:t>
            </w:r>
            <w:r w:rsidR="007948B6">
              <w:t xml:space="preserve"> </w:t>
            </w:r>
            <w:r>
              <w:t>по</w:t>
            </w:r>
            <w:r w:rsidR="007948B6">
              <w:t xml:space="preserve"> </w:t>
            </w:r>
            <w:r>
              <w:t>одобреном</w:t>
            </w:r>
            <w:r w:rsidR="007948B6">
              <w:t xml:space="preserve"> </w:t>
            </w:r>
            <w:r>
              <w:t>пројекту</w:t>
            </w:r>
            <w:r w:rsidR="007948B6">
              <w:t xml:space="preserve"> </w:t>
            </w:r>
            <w:r>
              <w:t>из</w:t>
            </w:r>
            <w:r w:rsidR="007948B6">
              <w:t xml:space="preserve"> </w:t>
            </w:r>
            <w:r>
              <w:rPr>
                <w:u w:val="single"/>
              </w:rPr>
              <w:t>области</w:t>
            </w:r>
            <w:r w:rsidR="007948B6" w:rsidRPr="00353E6C">
              <w:rPr>
                <w:u w:val="single"/>
              </w:rPr>
              <w:t xml:space="preserve"> </w:t>
            </w:r>
            <w:r>
              <w:rPr>
                <w:u w:val="single"/>
              </w:rPr>
              <w:t>друштвених</w:t>
            </w:r>
            <w:r w:rsidR="007948B6" w:rsidRPr="00353E6C">
              <w:rPr>
                <w:u w:val="single"/>
              </w:rPr>
              <w:t xml:space="preserve"> </w:t>
            </w:r>
            <w:r>
              <w:rPr>
                <w:u w:val="single"/>
              </w:rPr>
              <w:t>и</w:t>
            </w:r>
            <w:r w:rsidR="007948B6" w:rsidRPr="00353E6C">
              <w:rPr>
                <w:u w:val="single"/>
              </w:rPr>
              <w:t xml:space="preserve"> </w:t>
            </w:r>
            <w:r>
              <w:rPr>
                <w:u w:val="single"/>
              </w:rPr>
              <w:t>хуманистичких</w:t>
            </w:r>
            <w:r w:rsidR="007948B6" w:rsidRPr="00353E6C">
              <w:rPr>
                <w:u w:val="single"/>
              </w:rPr>
              <w:t xml:space="preserve"> </w:t>
            </w:r>
            <w:r>
              <w:rPr>
                <w:u w:val="single"/>
              </w:rPr>
              <w:t>наука</w:t>
            </w:r>
            <w:r w:rsidR="007948B6" w:rsidRPr="00353E6C">
              <w:rPr>
                <w:u w:val="single"/>
              </w:rPr>
              <w:t xml:space="preserve">, </w:t>
            </w:r>
            <w:r>
              <w:rPr>
                <w:u w:val="single"/>
              </w:rPr>
              <w:t>те</w:t>
            </w:r>
            <w:r w:rsidR="007948B6" w:rsidRPr="00353E6C">
              <w:rPr>
                <w:u w:val="single"/>
              </w:rPr>
              <w:t xml:space="preserve"> </w:t>
            </w:r>
            <w:r>
              <w:rPr>
                <w:u w:val="single"/>
              </w:rPr>
              <w:t>умјетничких</w:t>
            </w:r>
            <w:r w:rsidR="007948B6" w:rsidRPr="00353E6C">
              <w:rPr>
                <w:u w:val="single"/>
              </w:rPr>
              <w:t xml:space="preserve"> </w:t>
            </w:r>
            <w:r>
              <w:rPr>
                <w:u w:val="single"/>
              </w:rPr>
              <w:t>области</w:t>
            </w:r>
            <w:r w:rsidR="007948B6" w:rsidRPr="007948B6">
              <w:t xml:space="preserve"> </w:t>
            </w:r>
            <w:r>
              <w:t>ће</w:t>
            </w:r>
            <w:r w:rsidR="007948B6">
              <w:t xml:space="preserve"> </w:t>
            </w:r>
            <w:r>
              <w:t>се</w:t>
            </w:r>
            <w:r w:rsidR="007948B6">
              <w:t xml:space="preserve"> </w:t>
            </w:r>
            <w:r>
              <w:t>вршити</w:t>
            </w:r>
            <w:r w:rsidR="007948B6">
              <w:t xml:space="preserve"> </w:t>
            </w:r>
            <w:r>
              <w:t>на</w:t>
            </w:r>
            <w:r w:rsidR="007948B6">
              <w:t xml:space="preserve"> </w:t>
            </w:r>
            <w:r>
              <w:t>слиједећи</w:t>
            </w:r>
            <w:r w:rsidR="007948B6">
              <w:t xml:space="preserve"> </w:t>
            </w:r>
            <w:r>
              <w:t>начин</w:t>
            </w:r>
            <w:r w:rsidR="007948B6">
              <w:t xml:space="preserve">: </w:t>
            </w:r>
          </w:p>
          <w:p w14:paraId="3F667FE0" w14:textId="78E77E58" w:rsidR="007948B6" w:rsidRDefault="00EC6BBA" w:rsidP="007948B6">
            <w:pPr>
              <w:pStyle w:val="ListParagraph"/>
              <w:ind w:left="612" w:hanging="270"/>
            </w:pPr>
            <w:r>
              <w:t>а</w:t>
            </w:r>
            <w:r w:rsidR="007948B6">
              <w:t>)</w:t>
            </w:r>
            <w:r w:rsidR="007948B6">
              <w:tab/>
            </w:r>
            <w:r>
              <w:t>укупни</w:t>
            </w:r>
            <w:r w:rsidR="007948B6">
              <w:t xml:space="preserve"> </w:t>
            </w:r>
            <w:r>
              <w:t>трошкови</w:t>
            </w:r>
            <w:r w:rsidR="007948B6">
              <w:t xml:space="preserve"> </w:t>
            </w:r>
            <w:r>
              <w:t>радне</w:t>
            </w:r>
            <w:r w:rsidR="007948B6">
              <w:t xml:space="preserve"> </w:t>
            </w:r>
            <w:r>
              <w:t>снаге</w:t>
            </w:r>
            <w:r w:rsidR="007948B6">
              <w:t xml:space="preserve"> </w:t>
            </w:r>
            <w:r>
              <w:t>могу</w:t>
            </w:r>
            <w:r w:rsidR="007948B6">
              <w:t xml:space="preserve"> </w:t>
            </w:r>
            <w:r>
              <w:t>износити</w:t>
            </w:r>
            <w:r w:rsidR="007948B6">
              <w:t xml:space="preserve"> </w:t>
            </w:r>
            <w:r>
              <w:t>до</w:t>
            </w:r>
            <w:r w:rsidR="007948B6">
              <w:t xml:space="preserve"> 40% </w:t>
            </w:r>
            <w:r>
              <w:t>од</w:t>
            </w:r>
            <w:r w:rsidR="007948B6">
              <w:t xml:space="preserve"> </w:t>
            </w:r>
            <w:r>
              <w:t>укупне</w:t>
            </w:r>
            <w:r w:rsidR="007948B6">
              <w:t xml:space="preserve"> </w:t>
            </w:r>
            <w:r>
              <w:t>одобрене</w:t>
            </w:r>
            <w:r w:rsidR="007948B6">
              <w:t xml:space="preserve"> </w:t>
            </w:r>
            <w:r>
              <w:t>финансијске</w:t>
            </w:r>
            <w:r w:rsidR="007948B6">
              <w:t xml:space="preserve"> </w:t>
            </w:r>
            <w:r>
              <w:t>вриједности</w:t>
            </w:r>
            <w:r w:rsidR="007948B6">
              <w:t xml:space="preserve"> </w:t>
            </w:r>
            <w:r>
              <w:t>пројекта</w:t>
            </w:r>
            <w:r w:rsidR="007948B6">
              <w:t xml:space="preserve">; </w:t>
            </w:r>
          </w:p>
          <w:p w14:paraId="5A448512" w14:textId="6A22AD27" w:rsidR="007948B6" w:rsidRDefault="00EC6BBA" w:rsidP="007948B6">
            <w:pPr>
              <w:pStyle w:val="ListParagraph"/>
              <w:ind w:left="612" w:hanging="270"/>
            </w:pPr>
            <w:r>
              <w:t>б</w:t>
            </w:r>
            <w:r w:rsidR="007948B6">
              <w:t>)</w:t>
            </w:r>
            <w:r w:rsidR="007948B6">
              <w:tab/>
            </w:r>
            <w:r>
              <w:t>укупни</w:t>
            </w:r>
            <w:r w:rsidR="007948B6">
              <w:t xml:space="preserve"> </w:t>
            </w:r>
            <w:r>
              <w:t>трошкови</w:t>
            </w:r>
            <w:r w:rsidR="007948B6">
              <w:t xml:space="preserve"> </w:t>
            </w:r>
            <w:r>
              <w:t>опреме</w:t>
            </w:r>
            <w:r w:rsidR="007948B6">
              <w:t xml:space="preserve">, </w:t>
            </w:r>
            <w:r>
              <w:t>материјала</w:t>
            </w:r>
            <w:r w:rsidR="007948B6">
              <w:t xml:space="preserve"> </w:t>
            </w:r>
            <w:r>
              <w:t>и</w:t>
            </w:r>
            <w:r w:rsidR="007948B6">
              <w:t xml:space="preserve"> </w:t>
            </w:r>
            <w:r>
              <w:t>путних</w:t>
            </w:r>
            <w:r w:rsidR="007948B6">
              <w:t xml:space="preserve"> </w:t>
            </w:r>
            <w:r>
              <w:t>трошкова</w:t>
            </w:r>
            <w:r w:rsidR="007948B6">
              <w:t xml:space="preserve"> </w:t>
            </w:r>
            <w:r>
              <w:t>везаних</w:t>
            </w:r>
            <w:r w:rsidR="007948B6">
              <w:t xml:space="preserve"> </w:t>
            </w:r>
            <w:r>
              <w:t>уз</w:t>
            </w:r>
            <w:r w:rsidR="007948B6">
              <w:t xml:space="preserve"> </w:t>
            </w:r>
            <w:r>
              <w:t>прикупљање</w:t>
            </w:r>
            <w:r w:rsidR="007948B6">
              <w:t xml:space="preserve"> </w:t>
            </w:r>
            <w:r>
              <w:t>података</w:t>
            </w:r>
            <w:r w:rsidR="007948B6">
              <w:t xml:space="preserve"> </w:t>
            </w:r>
            <w:r>
              <w:t>могу</w:t>
            </w:r>
            <w:r w:rsidR="007948B6">
              <w:t xml:space="preserve"> </w:t>
            </w:r>
            <w:r>
              <w:t>износити</w:t>
            </w:r>
            <w:r w:rsidR="007948B6">
              <w:t xml:space="preserve"> </w:t>
            </w:r>
            <w:r>
              <w:t>до</w:t>
            </w:r>
            <w:r w:rsidR="007948B6">
              <w:t xml:space="preserve"> 40% </w:t>
            </w:r>
            <w:r>
              <w:t>од</w:t>
            </w:r>
            <w:r w:rsidR="007948B6">
              <w:t xml:space="preserve"> </w:t>
            </w:r>
            <w:r>
              <w:t>укупне</w:t>
            </w:r>
            <w:r w:rsidR="007948B6">
              <w:t xml:space="preserve"> </w:t>
            </w:r>
            <w:r>
              <w:t>одобрене</w:t>
            </w:r>
            <w:r w:rsidR="007948B6">
              <w:t xml:space="preserve"> </w:t>
            </w:r>
            <w:r>
              <w:t>финансијске</w:t>
            </w:r>
            <w:r w:rsidR="007948B6">
              <w:t xml:space="preserve"> </w:t>
            </w:r>
            <w:r>
              <w:t>вриједности</w:t>
            </w:r>
            <w:r w:rsidR="007948B6">
              <w:t xml:space="preserve"> </w:t>
            </w:r>
            <w:r>
              <w:t>пројекта</w:t>
            </w:r>
            <w:r w:rsidR="007948B6">
              <w:t xml:space="preserve">; </w:t>
            </w:r>
          </w:p>
          <w:p w14:paraId="6AF94D09" w14:textId="39E5F583" w:rsidR="007948B6" w:rsidRDefault="00EC6BBA" w:rsidP="007948B6">
            <w:pPr>
              <w:pStyle w:val="ListParagraph"/>
              <w:ind w:left="612" w:hanging="270"/>
            </w:pPr>
            <w:r>
              <w:t>ц</w:t>
            </w:r>
            <w:r w:rsidR="007948B6">
              <w:t>)</w:t>
            </w:r>
            <w:r w:rsidR="007948B6">
              <w:tab/>
            </w:r>
            <w:r>
              <w:t>укупни</w:t>
            </w:r>
            <w:r w:rsidR="007948B6">
              <w:t xml:space="preserve"> </w:t>
            </w:r>
            <w:r>
              <w:t>трошкови</w:t>
            </w:r>
            <w:r w:rsidR="007948B6">
              <w:t xml:space="preserve"> </w:t>
            </w:r>
            <w:r>
              <w:t>објављивања</w:t>
            </w:r>
            <w:r w:rsidR="007948B6">
              <w:t xml:space="preserve"> </w:t>
            </w:r>
            <w:r>
              <w:t>резултата</w:t>
            </w:r>
            <w:r w:rsidR="007948B6">
              <w:t xml:space="preserve"> </w:t>
            </w:r>
            <w:r>
              <w:t>истраживања</w:t>
            </w:r>
            <w:r w:rsidR="007948B6">
              <w:t xml:space="preserve"> </w:t>
            </w:r>
            <w:r>
              <w:t>могу</w:t>
            </w:r>
            <w:r w:rsidR="007948B6">
              <w:t xml:space="preserve"> </w:t>
            </w:r>
            <w:r>
              <w:t>износити</w:t>
            </w:r>
            <w:r w:rsidR="007948B6">
              <w:t xml:space="preserve"> </w:t>
            </w:r>
            <w:r>
              <w:t>до</w:t>
            </w:r>
            <w:r w:rsidR="007948B6">
              <w:t xml:space="preserve"> 20% </w:t>
            </w:r>
            <w:r>
              <w:t>од</w:t>
            </w:r>
            <w:r w:rsidR="007948B6">
              <w:t xml:space="preserve"> </w:t>
            </w:r>
            <w:r>
              <w:t>укупне</w:t>
            </w:r>
            <w:r w:rsidR="007948B6">
              <w:t xml:space="preserve"> </w:t>
            </w:r>
            <w:r>
              <w:t>одобрене</w:t>
            </w:r>
            <w:r w:rsidR="007948B6">
              <w:t xml:space="preserve"> </w:t>
            </w:r>
            <w:r>
              <w:t>финансијске</w:t>
            </w:r>
            <w:r w:rsidR="007948B6">
              <w:t xml:space="preserve"> </w:t>
            </w:r>
            <w:r>
              <w:t>вриједности</w:t>
            </w:r>
            <w:r w:rsidR="007948B6">
              <w:t xml:space="preserve"> </w:t>
            </w:r>
            <w:r>
              <w:t>пројекта</w:t>
            </w:r>
            <w:r w:rsidR="007948B6">
              <w:t>.</w:t>
            </w:r>
          </w:p>
          <w:p w14:paraId="0AC0B025" w14:textId="77777777" w:rsidR="007948B6" w:rsidRDefault="007948B6" w:rsidP="00B630EA">
            <w:pPr>
              <w:pStyle w:val="ListParagraph"/>
              <w:ind w:left="612" w:hanging="270"/>
            </w:pPr>
          </w:p>
          <w:p w14:paraId="1D84D1DF" w14:textId="4B5B9F02" w:rsidR="007948B6" w:rsidRDefault="00EC6BBA" w:rsidP="00353E6C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>Алокација</w:t>
            </w:r>
            <w:r w:rsidR="007948B6">
              <w:t xml:space="preserve"> </w:t>
            </w:r>
            <w:r>
              <w:t>средстава</w:t>
            </w:r>
            <w:r w:rsidR="007948B6">
              <w:t xml:space="preserve"> </w:t>
            </w:r>
            <w:r>
              <w:t>по</w:t>
            </w:r>
            <w:r w:rsidR="007948B6">
              <w:t xml:space="preserve"> </w:t>
            </w:r>
            <w:r>
              <w:t>одобреном</w:t>
            </w:r>
            <w:r w:rsidR="007948B6">
              <w:t xml:space="preserve"> </w:t>
            </w:r>
            <w:r>
              <w:t>пројекту</w:t>
            </w:r>
            <w:r w:rsidR="007948B6">
              <w:t xml:space="preserve"> </w:t>
            </w:r>
            <w:r>
              <w:t>из</w:t>
            </w:r>
            <w:r w:rsidR="007948B6">
              <w:t xml:space="preserve"> </w:t>
            </w:r>
            <w:r>
              <w:rPr>
                <w:u w:val="single"/>
              </w:rPr>
              <w:t>области</w:t>
            </w:r>
            <w:r w:rsidR="007948B6" w:rsidRPr="00353E6C">
              <w:rPr>
                <w:u w:val="single"/>
              </w:rPr>
              <w:t xml:space="preserve"> </w:t>
            </w:r>
            <w:r>
              <w:rPr>
                <w:u w:val="single"/>
              </w:rPr>
              <w:t>природних</w:t>
            </w:r>
            <w:r w:rsidR="007948B6" w:rsidRPr="00353E6C">
              <w:rPr>
                <w:u w:val="single"/>
              </w:rPr>
              <w:t xml:space="preserve">, </w:t>
            </w:r>
            <w:r>
              <w:rPr>
                <w:u w:val="single"/>
              </w:rPr>
              <w:t>техничких</w:t>
            </w:r>
            <w:r w:rsidR="007948B6" w:rsidRPr="00353E6C">
              <w:rPr>
                <w:u w:val="single"/>
              </w:rPr>
              <w:t xml:space="preserve">, </w:t>
            </w:r>
            <w:r>
              <w:rPr>
                <w:u w:val="single"/>
              </w:rPr>
              <w:t>биотехничких</w:t>
            </w:r>
            <w:r w:rsidR="007948B6" w:rsidRPr="00353E6C">
              <w:rPr>
                <w:u w:val="single"/>
              </w:rPr>
              <w:t xml:space="preserve"> </w:t>
            </w:r>
            <w:r>
              <w:rPr>
                <w:u w:val="single"/>
              </w:rPr>
              <w:t>наука</w:t>
            </w:r>
            <w:r w:rsidR="007948B6" w:rsidRPr="00353E6C">
              <w:rPr>
                <w:u w:val="single"/>
              </w:rPr>
              <w:t xml:space="preserve">, </w:t>
            </w:r>
            <w:r>
              <w:rPr>
                <w:u w:val="single"/>
              </w:rPr>
              <w:t>те</w:t>
            </w:r>
            <w:r w:rsidR="007948B6" w:rsidRPr="00353E6C">
              <w:rPr>
                <w:u w:val="single"/>
              </w:rPr>
              <w:t xml:space="preserve"> </w:t>
            </w:r>
            <w:r>
              <w:rPr>
                <w:u w:val="single"/>
              </w:rPr>
              <w:t>биомедицине</w:t>
            </w:r>
            <w:r w:rsidR="007948B6" w:rsidRPr="00353E6C">
              <w:rPr>
                <w:u w:val="single"/>
              </w:rPr>
              <w:t xml:space="preserve"> </w:t>
            </w:r>
            <w:r>
              <w:rPr>
                <w:u w:val="single"/>
              </w:rPr>
              <w:t>и</w:t>
            </w:r>
            <w:r w:rsidR="007948B6" w:rsidRPr="00353E6C">
              <w:rPr>
                <w:u w:val="single"/>
              </w:rPr>
              <w:t xml:space="preserve"> </w:t>
            </w:r>
            <w:r>
              <w:rPr>
                <w:u w:val="single"/>
              </w:rPr>
              <w:t>здравства</w:t>
            </w:r>
            <w:r w:rsidR="007948B6">
              <w:t xml:space="preserve"> </w:t>
            </w:r>
            <w:r>
              <w:t>ће</w:t>
            </w:r>
            <w:r w:rsidR="007948B6">
              <w:t xml:space="preserve"> </w:t>
            </w:r>
            <w:r>
              <w:t>се</w:t>
            </w:r>
            <w:r w:rsidR="007948B6">
              <w:t xml:space="preserve"> </w:t>
            </w:r>
            <w:r>
              <w:t>вршити</w:t>
            </w:r>
            <w:r w:rsidR="007948B6">
              <w:t xml:space="preserve"> </w:t>
            </w:r>
            <w:r>
              <w:t>на</w:t>
            </w:r>
            <w:r w:rsidR="007948B6">
              <w:t xml:space="preserve"> </w:t>
            </w:r>
            <w:r>
              <w:t>слиједећи</w:t>
            </w:r>
            <w:r w:rsidR="007948B6">
              <w:t xml:space="preserve"> </w:t>
            </w:r>
            <w:r>
              <w:t>начин</w:t>
            </w:r>
            <w:r w:rsidR="007948B6">
              <w:t xml:space="preserve">: </w:t>
            </w:r>
          </w:p>
          <w:p w14:paraId="0B741229" w14:textId="53110F26" w:rsidR="007948B6" w:rsidRDefault="00EC6BBA" w:rsidP="007948B6">
            <w:pPr>
              <w:pStyle w:val="ListParagraph"/>
              <w:ind w:left="612" w:hanging="270"/>
            </w:pPr>
            <w:r>
              <w:t>а</w:t>
            </w:r>
            <w:r w:rsidR="007948B6">
              <w:t>)</w:t>
            </w:r>
            <w:r w:rsidR="007948B6">
              <w:tab/>
            </w:r>
            <w:r>
              <w:t>укупни</w:t>
            </w:r>
            <w:r w:rsidR="007948B6">
              <w:t xml:space="preserve"> </w:t>
            </w:r>
            <w:r>
              <w:t>трошкови</w:t>
            </w:r>
            <w:r w:rsidR="007948B6">
              <w:t xml:space="preserve"> </w:t>
            </w:r>
            <w:r>
              <w:t>радне</w:t>
            </w:r>
            <w:r w:rsidR="007948B6">
              <w:t xml:space="preserve"> </w:t>
            </w:r>
            <w:r>
              <w:t>снаге</w:t>
            </w:r>
            <w:r w:rsidR="007948B6">
              <w:t xml:space="preserve"> </w:t>
            </w:r>
            <w:r>
              <w:t>могу</w:t>
            </w:r>
            <w:r w:rsidR="007948B6">
              <w:t xml:space="preserve"> </w:t>
            </w:r>
            <w:r>
              <w:t>износити</w:t>
            </w:r>
            <w:r w:rsidR="007948B6">
              <w:t xml:space="preserve"> </w:t>
            </w:r>
            <w:r>
              <w:t>до</w:t>
            </w:r>
            <w:r w:rsidR="007948B6">
              <w:t xml:space="preserve"> 20% </w:t>
            </w:r>
            <w:r>
              <w:t>од</w:t>
            </w:r>
            <w:r w:rsidR="007948B6">
              <w:t xml:space="preserve"> </w:t>
            </w:r>
            <w:r>
              <w:t>укупне</w:t>
            </w:r>
            <w:r w:rsidR="007948B6">
              <w:t xml:space="preserve"> </w:t>
            </w:r>
            <w:r>
              <w:t>одобрене</w:t>
            </w:r>
            <w:r w:rsidR="007948B6">
              <w:t xml:space="preserve"> </w:t>
            </w:r>
            <w:r>
              <w:t>финансијске</w:t>
            </w:r>
            <w:r w:rsidR="007948B6">
              <w:t xml:space="preserve"> </w:t>
            </w:r>
            <w:r>
              <w:t>вриједности</w:t>
            </w:r>
            <w:r w:rsidR="007948B6">
              <w:t xml:space="preserve"> </w:t>
            </w:r>
            <w:r>
              <w:t>пројекта</w:t>
            </w:r>
            <w:r w:rsidR="007948B6">
              <w:t xml:space="preserve">; </w:t>
            </w:r>
          </w:p>
          <w:p w14:paraId="7EE96092" w14:textId="4F561DA7" w:rsidR="007948B6" w:rsidRDefault="00EC6BBA" w:rsidP="007948B6">
            <w:pPr>
              <w:pStyle w:val="ListParagraph"/>
              <w:ind w:left="612" w:hanging="270"/>
            </w:pPr>
            <w:r>
              <w:t>б</w:t>
            </w:r>
            <w:r w:rsidR="007948B6">
              <w:t>)</w:t>
            </w:r>
            <w:r w:rsidR="007948B6">
              <w:tab/>
            </w:r>
            <w:r>
              <w:t>укупни</w:t>
            </w:r>
            <w:r w:rsidR="007948B6">
              <w:t xml:space="preserve"> </w:t>
            </w:r>
            <w:r>
              <w:t>трошкови</w:t>
            </w:r>
            <w:r w:rsidR="007948B6">
              <w:t xml:space="preserve"> </w:t>
            </w:r>
            <w:r>
              <w:t>опреме</w:t>
            </w:r>
            <w:r w:rsidR="007948B6">
              <w:t xml:space="preserve">, </w:t>
            </w:r>
            <w:r>
              <w:t>материјала</w:t>
            </w:r>
            <w:r w:rsidR="007948B6">
              <w:t xml:space="preserve"> </w:t>
            </w:r>
            <w:r>
              <w:t>и</w:t>
            </w:r>
            <w:r w:rsidR="007948B6">
              <w:t xml:space="preserve"> </w:t>
            </w:r>
            <w:r>
              <w:t>путних</w:t>
            </w:r>
            <w:r w:rsidR="007948B6">
              <w:t xml:space="preserve"> </w:t>
            </w:r>
            <w:r>
              <w:t>трошкова</w:t>
            </w:r>
            <w:r w:rsidR="007948B6">
              <w:t xml:space="preserve"> </w:t>
            </w:r>
            <w:r>
              <w:t>везаних</w:t>
            </w:r>
            <w:r w:rsidR="007948B6">
              <w:t xml:space="preserve"> </w:t>
            </w:r>
            <w:r>
              <w:t>уз</w:t>
            </w:r>
            <w:r w:rsidR="007948B6">
              <w:t xml:space="preserve"> </w:t>
            </w:r>
            <w:r>
              <w:t>прикупљање</w:t>
            </w:r>
            <w:r w:rsidR="007948B6">
              <w:t xml:space="preserve"> </w:t>
            </w:r>
            <w:r>
              <w:t>података</w:t>
            </w:r>
            <w:r w:rsidR="007948B6">
              <w:t xml:space="preserve"> </w:t>
            </w:r>
            <w:r>
              <w:t>могу</w:t>
            </w:r>
            <w:r w:rsidR="007948B6">
              <w:t xml:space="preserve"> </w:t>
            </w:r>
            <w:r>
              <w:t>износити</w:t>
            </w:r>
            <w:r w:rsidR="007948B6">
              <w:t xml:space="preserve"> </w:t>
            </w:r>
            <w:r>
              <w:t>до</w:t>
            </w:r>
            <w:r w:rsidR="007948B6">
              <w:t xml:space="preserve"> 70% </w:t>
            </w:r>
            <w:r>
              <w:t>од</w:t>
            </w:r>
            <w:r w:rsidR="007948B6">
              <w:t xml:space="preserve"> </w:t>
            </w:r>
            <w:r>
              <w:t>укупне</w:t>
            </w:r>
            <w:r w:rsidR="007948B6">
              <w:t xml:space="preserve"> </w:t>
            </w:r>
            <w:r>
              <w:t>одобрене</w:t>
            </w:r>
            <w:r w:rsidR="007948B6">
              <w:t xml:space="preserve"> </w:t>
            </w:r>
            <w:r>
              <w:t>финансијске</w:t>
            </w:r>
            <w:r w:rsidR="007948B6">
              <w:t xml:space="preserve"> </w:t>
            </w:r>
            <w:r>
              <w:t>вриједности</w:t>
            </w:r>
            <w:r w:rsidR="007948B6">
              <w:t xml:space="preserve"> </w:t>
            </w:r>
            <w:r>
              <w:t>пројекта</w:t>
            </w:r>
            <w:r w:rsidR="007948B6">
              <w:t xml:space="preserve">; </w:t>
            </w:r>
          </w:p>
          <w:p w14:paraId="7BCB4BD2" w14:textId="183C90FF" w:rsidR="007948B6" w:rsidRPr="00E14536" w:rsidRDefault="00EC6BBA" w:rsidP="007948B6">
            <w:pPr>
              <w:pStyle w:val="ListParagraph"/>
              <w:ind w:left="612" w:hanging="270"/>
            </w:pPr>
            <w:r>
              <w:t>ц</w:t>
            </w:r>
            <w:r w:rsidR="007948B6">
              <w:t>)</w:t>
            </w:r>
            <w:r w:rsidR="007948B6">
              <w:tab/>
            </w:r>
            <w:r>
              <w:t>укупни</w:t>
            </w:r>
            <w:r w:rsidR="007948B6">
              <w:t xml:space="preserve"> </w:t>
            </w:r>
            <w:r>
              <w:t>трошкови</w:t>
            </w:r>
            <w:r w:rsidR="007948B6">
              <w:t xml:space="preserve"> </w:t>
            </w:r>
            <w:r>
              <w:t>објављивања</w:t>
            </w:r>
            <w:r w:rsidR="007948B6">
              <w:t xml:space="preserve"> </w:t>
            </w:r>
            <w:r>
              <w:t>резултата</w:t>
            </w:r>
            <w:r w:rsidR="007948B6">
              <w:t xml:space="preserve"> </w:t>
            </w:r>
            <w:r>
              <w:t>истраживања</w:t>
            </w:r>
            <w:r w:rsidR="007948B6">
              <w:t xml:space="preserve"> </w:t>
            </w:r>
            <w:r>
              <w:t>могу</w:t>
            </w:r>
            <w:r w:rsidR="007948B6">
              <w:t xml:space="preserve"> </w:t>
            </w:r>
            <w:r>
              <w:t>износити</w:t>
            </w:r>
            <w:r w:rsidR="007948B6">
              <w:t xml:space="preserve"> </w:t>
            </w:r>
            <w:r>
              <w:t>до</w:t>
            </w:r>
            <w:r w:rsidR="007948B6">
              <w:t xml:space="preserve"> 10% </w:t>
            </w:r>
            <w:r>
              <w:t>од</w:t>
            </w:r>
            <w:r w:rsidR="007948B6">
              <w:t xml:space="preserve"> </w:t>
            </w:r>
            <w:r>
              <w:t>укупне</w:t>
            </w:r>
            <w:r w:rsidR="007948B6">
              <w:t xml:space="preserve"> </w:t>
            </w:r>
            <w:r>
              <w:t>одобрене</w:t>
            </w:r>
            <w:r w:rsidR="007948B6">
              <w:t xml:space="preserve"> </w:t>
            </w:r>
            <w:r>
              <w:t>финансијске</w:t>
            </w:r>
            <w:r w:rsidR="007948B6">
              <w:t xml:space="preserve"> </w:t>
            </w:r>
            <w:r>
              <w:t>вриједности</w:t>
            </w:r>
            <w:r w:rsidR="007948B6">
              <w:t xml:space="preserve"> </w:t>
            </w:r>
            <w:r>
              <w:t>пројекта</w:t>
            </w:r>
            <w:r w:rsidR="007948B6">
              <w:t>.</w:t>
            </w:r>
          </w:p>
        </w:tc>
      </w:tr>
      <w:tr w:rsidR="008A43F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8A43F2" w:rsidRDefault="00122D47" w:rsidP="00531CAA">
            <w:r>
              <w:lastRenderedPageBreak/>
              <w:t>7</w:t>
            </w:r>
          </w:p>
        </w:tc>
        <w:tc>
          <w:tcPr>
            <w:tcW w:w="3202" w:type="dxa"/>
            <w:vAlign w:val="center"/>
          </w:tcPr>
          <w:p w14:paraId="3588B39E" w14:textId="3A850C8F" w:rsidR="008A43F2" w:rsidRPr="005971C4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Процент</w:t>
            </w:r>
            <w:r w:rsidR="008A43F2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A43F2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износ</w:t>
            </w:r>
            <w:r w:rsidR="008A43F2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  <w:r w:rsidR="008A43F2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који</w:t>
            </w:r>
            <w:r w:rsidR="008A43F2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 w:rsidR="008A43F2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односи</w:t>
            </w:r>
            <w:r w:rsidR="008A43F2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</w:t>
            </w:r>
            <w:r w:rsidR="008A43F2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финансирање</w:t>
            </w:r>
            <w:r w:rsidR="008A43F2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административних</w:t>
            </w:r>
            <w:r w:rsidR="008A43F2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трошкова</w:t>
            </w:r>
          </w:p>
        </w:tc>
        <w:tc>
          <w:tcPr>
            <w:tcW w:w="6390" w:type="dxa"/>
            <w:vAlign w:val="center"/>
          </w:tcPr>
          <w:p w14:paraId="585F97C1" w14:textId="2D6CEEB4" w:rsidR="008A43F2" w:rsidRPr="005971C4" w:rsidRDefault="00EC6BBA" w:rsidP="00531CAA">
            <w:r>
              <w:t>Максимално</w:t>
            </w:r>
            <w:r w:rsidR="006126FC" w:rsidRPr="005971C4">
              <w:t xml:space="preserve"> </w:t>
            </w:r>
            <w:r>
              <w:t>до</w:t>
            </w:r>
            <w:r w:rsidR="006126FC" w:rsidRPr="005971C4">
              <w:t xml:space="preserve"> 1% </w:t>
            </w:r>
            <w:r>
              <w:t>од</w:t>
            </w:r>
            <w:r w:rsidR="006126FC" w:rsidRPr="005971C4">
              <w:t xml:space="preserve"> </w:t>
            </w:r>
            <w:r>
              <w:t>укупно</w:t>
            </w:r>
            <w:r w:rsidR="006126FC" w:rsidRPr="005971C4">
              <w:t xml:space="preserve"> </w:t>
            </w:r>
            <w:r>
              <w:t>додјељеног</w:t>
            </w:r>
            <w:r w:rsidR="006126FC" w:rsidRPr="005971C4">
              <w:t xml:space="preserve"> </w:t>
            </w:r>
            <w:r>
              <w:t>износа</w:t>
            </w:r>
            <w:r w:rsidR="006126FC" w:rsidRPr="005971C4">
              <w:t xml:space="preserve"> </w:t>
            </w:r>
            <w:r>
              <w:t>за</w:t>
            </w:r>
            <w:r w:rsidR="006126FC" w:rsidRPr="005971C4">
              <w:t xml:space="preserve"> </w:t>
            </w:r>
            <w:r>
              <w:t>поједини</w:t>
            </w:r>
            <w:r w:rsidR="006126FC" w:rsidRPr="005971C4">
              <w:t xml:space="preserve"> </w:t>
            </w:r>
            <w:r>
              <w:t>програм</w:t>
            </w:r>
            <w:r w:rsidR="006126FC" w:rsidRPr="005971C4">
              <w:t xml:space="preserve"> </w:t>
            </w:r>
            <w:r>
              <w:t>по</w:t>
            </w:r>
            <w:r w:rsidR="006126FC" w:rsidRPr="005971C4">
              <w:t xml:space="preserve"> </w:t>
            </w:r>
            <w:r>
              <w:t>Јавном</w:t>
            </w:r>
            <w:r w:rsidR="006126FC" w:rsidRPr="005971C4">
              <w:t xml:space="preserve"> </w:t>
            </w:r>
            <w:r>
              <w:t>позиву</w:t>
            </w:r>
            <w:r w:rsidR="006126FC" w:rsidRPr="005971C4">
              <w:t xml:space="preserve"> (</w:t>
            </w:r>
            <w:r>
              <w:t>поштарина</w:t>
            </w:r>
            <w:r w:rsidR="006126FC" w:rsidRPr="005971C4">
              <w:t xml:space="preserve">, </w:t>
            </w:r>
            <w:r>
              <w:t>банкарске</w:t>
            </w:r>
            <w:r w:rsidR="006126FC" w:rsidRPr="005971C4">
              <w:t xml:space="preserve"> </w:t>
            </w:r>
            <w:r>
              <w:t>накнаде</w:t>
            </w:r>
            <w:r w:rsidR="006126FC" w:rsidRPr="005971C4">
              <w:t>).</w:t>
            </w:r>
          </w:p>
        </w:tc>
      </w:tr>
      <w:tr w:rsidR="008A43F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8A43F2" w:rsidRDefault="00122D47" w:rsidP="00531CAA">
            <w:r>
              <w:t>8</w:t>
            </w:r>
          </w:p>
        </w:tc>
        <w:tc>
          <w:tcPr>
            <w:tcW w:w="3202" w:type="dxa"/>
            <w:vAlign w:val="center"/>
          </w:tcPr>
          <w:p w14:paraId="207CD15D" w14:textId="0761AD89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Неприхватљиви</w:t>
            </w:r>
            <w:r w:rsidR="00AF1841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трошкови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могу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финансирати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додијељеним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средствима</w:t>
            </w:r>
          </w:p>
        </w:tc>
        <w:tc>
          <w:tcPr>
            <w:tcW w:w="6390" w:type="dxa"/>
            <w:vAlign w:val="center"/>
          </w:tcPr>
          <w:p w14:paraId="40123BAD" w14:textId="60DBA07B" w:rsidR="007F3B7A" w:rsidRDefault="00EC6BBA" w:rsidP="00B630EA">
            <w:pPr>
              <w:pStyle w:val="ListParagraph"/>
              <w:numPr>
                <w:ilvl w:val="0"/>
                <w:numId w:val="14"/>
              </w:numPr>
              <w:ind w:left="342"/>
            </w:pPr>
            <w:r>
              <w:t>Трошкови</w:t>
            </w:r>
            <w:r w:rsidR="007F3B7A">
              <w:t xml:space="preserve"> </w:t>
            </w:r>
            <w:r>
              <w:t>који</w:t>
            </w:r>
            <w:r w:rsidR="007F3B7A">
              <w:t xml:space="preserve"> </w:t>
            </w:r>
            <w:r>
              <w:t>нису</w:t>
            </w:r>
            <w:r w:rsidR="007F3B7A">
              <w:t xml:space="preserve"> </w:t>
            </w:r>
            <w:r>
              <w:t>наведени</w:t>
            </w:r>
            <w:r w:rsidR="007F3B7A">
              <w:t xml:space="preserve"> </w:t>
            </w:r>
            <w:r>
              <w:t>под</w:t>
            </w:r>
            <w:r w:rsidR="007F3B7A">
              <w:t xml:space="preserve"> </w:t>
            </w:r>
            <w:r>
              <w:t>тачком</w:t>
            </w:r>
            <w:r w:rsidR="007F3B7A">
              <w:t xml:space="preserve"> </w:t>
            </w:r>
            <w:r w:rsidR="007F3B7A" w:rsidRPr="007F3B7A">
              <w:t xml:space="preserve">6. </w:t>
            </w:r>
            <w:r>
              <w:t>овог</w:t>
            </w:r>
            <w:r w:rsidR="007F3B7A" w:rsidRPr="007F3B7A">
              <w:t xml:space="preserve"> </w:t>
            </w:r>
            <w:r>
              <w:t>Упутства</w:t>
            </w:r>
            <w:r w:rsidR="007F3B7A" w:rsidRPr="007F3B7A">
              <w:t>.</w:t>
            </w:r>
          </w:p>
          <w:p w14:paraId="6F78A0BE" w14:textId="550B3D97" w:rsidR="008A43F2" w:rsidRDefault="00EC6BBA" w:rsidP="00B630EA">
            <w:pPr>
              <w:pStyle w:val="ListParagraph"/>
              <w:numPr>
                <w:ilvl w:val="0"/>
                <w:numId w:val="14"/>
              </w:numPr>
              <w:ind w:left="342"/>
            </w:pPr>
            <w:r>
              <w:t>Активности</w:t>
            </w:r>
            <w:r w:rsidR="005971C4" w:rsidRPr="005971C4">
              <w:t xml:space="preserve"> </w:t>
            </w:r>
            <w:r>
              <w:t>које</w:t>
            </w:r>
            <w:r w:rsidR="005971C4" w:rsidRPr="005971C4">
              <w:t xml:space="preserve"> </w:t>
            </w:r>
            <w:r>
              <w:t>нису</w:t>
            </w:r>
            <w:r w:rsidR="005971C4" w:rsidRPr="005971C4">
              <w:t xml:space="preserve"> </w:t>
            </w:r>
            <w:r>
              <w:t>у</w:t>
            </w:r>
            <w:r w:rsidR="005971C4" w:rsidRPr="005971C4">
              <w:t xml:space="preserve"> </w:t>
            </w:r>
            <w:r>
              <w:t>циљу</w:t>
            </w:r>
            <w:r w:rsidR="005971C4" w:rsidRPr="005971C4">
              <w:t xml:space="preserve"> </w:t>
            </w:r>
            <w:r>
              <w:t>реализације</w:t>
            </w:r>
            <w:r w:rsidR="007F3B7A">
              <w:t xml:space="preserve"> </w:t>
            </w:r>
            <w:r>
              <w:t>пројекта</w:t>
            </w:r>
            <w:r w:rsidR="005971C4" w:rsidRPr="005971C4">
              <w:t xml:space="preserve"> </w:t>
            </w:r>
            <w:r>
              <w:t>и</w:t>
            </w:r>
            <w:r w:rsidR="005971C4" w:rsidRPr="005971C4">
              <w:t xml:space="preserve"> </w:t>
            </w:r>
            <w:r>
              <w:t>које</w:t>
            </w:r>
            <w:r w:rsidR="005971C4" w:rsidRPr="005971C4">
              <w:t xml:space="preserve"> </w:t>
            </w:r>
            <w:r>
              <w:t>нису</w:t>
            </w:r>
            <w:r w:rsidR="00B630EA">
              <w:t xml:space="preserve"> </w:t>
            </w:r>
            <w:r>
              <w:t>наведене</w:t>
            </w:r>
            <w:r w:rsidR="005971C4" w:rsidRPr="005971C4">
              <w:t xml:space="preserve"> </w:t>
            </w:r>
            <w:r>
              <w:t>у</w:t>
            </w:r>
            <w:r w:rsidR="005971C4" w:rsidRPr="005971C4">
              <w:t xml:space="preserve"> </w:t>
            </w:r>
            <w:r>
              <w:t>пројектном</w:t>
            </w:r>
            <w:r w:rsidR="005971C4" w:rsidRPr="005971C4">
              <w:t xml:space="preserve"> </w:t>
            </w:r>
            <w:r>
              <w:t>плану</w:t>
            </w:r>
            <w:r w:rsidR="005971C4" w:rsidRPr="005971C4">
              <w:t>.</w:t>
            </w:r>
          </w:p>
        </w:tc>
      </w:tr>
      <w:tr w:rsidR="008A43F2" w14:paraId="6C265BF0" w14:textId="77777777" w:rsidTr="00AC4E85">
        <w:trPr>
          <w:trHeight w:val="708"/>
        </w:trPr>
        <w:tc>
          <w:tcPr>
            <w:tcW w:w="578" w:type="dxa"/>
            <w:vAlign w:val="center"/>
          </w:tcPr>
          <w:p w14:paraId="137F4894" w14:textId="6AEAA182" w:rsidR="008A43F2" w:rsidRDefault="00122D47" w:rsidP="00531CAA">
            <w:r>
              <w:t>9</w:t>
            </w:r>
          </w:p>
        </w:tc>
        <w:tc>
          <w:tcPr>
            <w:tcW w:w="3202" w:type="dxa"/>
            <w:vAlign w:val="center"/>
          </w:tcPr>
          <w:p w14:paraId="24730A5D" w14:textId="2B65925D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Правила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видљивости</w:t>
            </w:r>
            <w:r w:rsidR="008A43F2" w:rsidRPr="00102F1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промоција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пројеката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резултата</w:t>
            </w:r>
            <w:r w:rsidR="008A43F2" w:rsidRPr="00102F11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која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требају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поштовати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провођењу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  <w:tc>
          <w:tcPr>
            <w:tcW w:w="6390" w:type="dxa"/>
            <w:vAlign w:val="center"/>
          </w:tcPr>
          <w:p w14:paraId="52C03BDE" w14:textId="4246486F" w:rsidR="00E14536" w:rsidRPr="00E14536" w:rsidRDefault="00EC6BBA" w:rsidP="008E33AF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FF0000"/>
              </w:rPr>
            </w:pPr>
            <w:r>
              <w:t>Институције</w:t>
            </w:r>
            <w:r w:rsidR="00E14536" w:rsidRPr="00E14536">
              <w:t xml:space="preserve">, </w:t>
            </w:r>
            <w:r>
              <w:t>чији</w:t>
            </w:r>
            <w:r w:rsidR="00E14536" w:rsidRPr="00E14536">
              <w:t xml:space="preserve"> </w:t>
            </w:r>
            <w:r>
              <w:t>пројекти</w:t>
            </w:r>
            <w:r w:rsidR="00E14536" w:rsidRPr="00E14536">
              <w:t xml:space="preserve"> </w:t>
            </w:r>
            <w:r>
              <w:t>буду</w:t>
            </w:r>
            <w:r w:rsidR="00E14536" w:rsidRPr="00E14536">
              <w:t xml:space="preserve"> </w:t>
            </w:r>
            <w:r>
              <w:t>одобрени</w:t>
            </w:r>
            <w:r w:rsidR="00E14536" w:rsidRPr="00E14536">
              <w:t xml:space="preserve"> </w:t>
            </w:r>
            <w:r>
              <w:t>за</w:t>
            </w:r>
            <w:r w:rsidR="00E14536" w:rsidRPr="00E14536">
              <w:t xml:space="preserve"> </w:t>
            </w:r>
            <w:r>
              <w:t>финансирање</w:t>
            </w:r>
            <w:r w:rsidR="00E14536" w:rsidRPr="00E14536">
              <w:t>/</w:t>
            </w:r>
            <w:r>
              <w:t>суфинансирање</w:t>
            </w:r>
            <w:r w:rsidR="00E14536" w:rsidRPr="00E14536">
              <w:t xml:space="preserve">, </w:t>
            </w:r>
            <w:r>
              <w:t>дужне</w:t>
            </w:r>
            <w:r w:rsidR="00E14536" w:rsidRPr="00E14536">
              <w:t xml:space="preserve"> </w:t>
            </w:r>
            <w:r>
              <w:t>су</w:t>
            </w:r>
            <w:r w:rsidR="00E14536" w:rsidRPr="00E14536">
              <w:t xml:space="preserve"> </w:t>
            </w:r>
            <w:r>
              <w:t>у</w:t>
            </w:r>
            <w:r w:rsidR="00E14536" w:rsidRPr="00E14536">
              <w:t xml:space="preserve"> </w:t>
            </w:r>
            <w:r>
              <w:t>року</w:t>
            </w:r>
            <w:r w:rsidR="00E14536" w:rsidRPr="00E14536">
              <w:t xml:space="preserve"> </w:t>
            </w:r>
            <w:r>
              <w:t>од</w:t>
            </w:r>
            <w:r w:rsidR="00E14536" w:rsidRPr="00E14536">
              <w:t xml:space="preserve"> 30 </w:t>
            </w:r>
            <w:r>
              <w:t>дана</w:t>
            </w:r>
            <w:r w:rsidR="00E14536" w:rsidRPr="00E14536">
              <w:t xml:space="preserve"> </w:t>
            </w:r>
            <w:r>
              <w:t>од</w:t>
            </w:r>
            <w:r w:rsidR="00E14536" w:rsidRPr="00E14536">
              <w:t xml:space="preserve"> </w:t>
            </w:r>
            <w:r>
              <w:t>дана</w:t>
            </w:r>
            <w:r w:rsidR="00E14536" w:rsidRPr="00E14536">
              <w:t xml:space="preserve"> </w:t>
            </w:r>
            <w:r>
              <w:t>потписивања</w:t>
            </w:r>
            <w:r w:rsidR="00E14536" w:rsidRPr="00E14536">
              <w:t xml:space="preserve"> </w:t>
            </w:r>
            <w:r>
              <w:t>уговора</w:t>
            </w:r>
            <w:r w:rsidR="00E14536" w:rsidRPr="00E14536">
              <w:t xml:space="preserve"> </w:t>
            </w:r>
            <w:r>
              <w:t>организирати</w:t>
            </w:r>
            <w:r w:rsidR="00E14536" w:rsidRPr="00E14536">
              <w:t xml:space="preserve"> </w:t>
            </w:r>
            <w:r>
              <w:t>јавно</w:t>
            </w:r>
            <w:r w:rsidR="00E14536" w:rsidRPr="00E14536">
              <w:t xml:space="preserve"> </w:t>
            </w:r>
            <w:r>
              <w:t>представљање</w:t>
            </w:r>
            <w:r w:rsidR="00E14536" w:rsidRPr="00E14536">
              <w:t xml:space="preserve"> </w:t>
            </w:r>
            <w:r>
              <w:t>одобрених</w:t>
            </w:r>
            <w:r w:rsidR="00E14536" w:rsidRPr="00E14536">
              <w:t xml:space="preserve"> </w:t>
            </w:r>
            <w:r>
              <w:t>пројеката</w:t>
            </w:r>
            <w:r w:rsidR="00E14536" w:rsidRPr="00E14536">
              <w:t xml:space="preserve"> (</w:t>
            </w:r>
            <w:r>
              <w:t>предмет</w:t>
            </w:r>
            <w:r w:rsidR="00E14536" w:rsidRPr="00E14536">
              <w:t xml:space="preserve">, </w:t>
            </w:r>
            <w:r>
              <w:t>циљ</w:t>
            </w:r>
            <w:r w:rsidR="00E14536" w:rsidRPr="00E14536">
              <w:t xml:space="preserve"> </w:t>
            </w:r>
            <w:r>
              <w:t>и</w:t>
            </w:r>
            <w:r w:rsidR="00E14536" w:rsidRPr="00E14536">
              <w:t xml:space="preserve"> </w:t>
            </w:r>
            <w:r>
              <w:t>методологија</w:t>
            </w:r>
            <w:r w:rsidR="00E14536" w:rsidRPr="00E14536">
              <w:t xml:space="preserve"> </w:t>
            </w:r>
            <w:r>
              <w:t>истраживања</w:t>
            </w:r>
            <w:r w:rsidR="00E14536" w:rsidRPr="00E14536">
              <w:t xml:space="preserve">, </w:t>
            </w:r>
            <w:r>
              <w:t>хипотеза</w:t>
            </w:r>
            <w:r w:rsidR="00E14536" w:rsidRPr="00E14536">
              <w:t xml:space="preserve">, </w:t>
            </w:r>
            <w:r>
              <w:t>очекивани</w:t>
            </w:r>
            <w:r w:rsidR="00E14536" w:rsidRPr="00E14536">
              <w:t xml:space="preserve"> </w:t>
            </w:r>
            <w:r>
              <w:t>резултати</w:t>
            </w:r>
            <w:r w:rsidR="00E14536" w:rsidRPr="00E14536">
              <w:t xml:space="preserve">, </w:t>
            </w:r>
            <w:r>
              <w:t>пројектни</w:t>
            </w:r>
            <w:r w:rsidR="00E14536" w:rsidRPr="00E14536">
              <w:t xml:space="preserve"> </w:t>
            </w:r>
            <w:r>
              <w:t>тим</w:t>
            </w:r>
            <w:r w:rsidR="00E14536" w:rsidRPr="00E14536">
              <w:t xml:space="preserve">) </w:t>
            </w:r>
            <w:r>
              <w:t>и</w:t>
            </w:r>
            <w:r w:rsidR="00E14536" w:rsidRPr="00E14536">
              <w:t xml:space="preserve"> </w:t>
            </w:r>
            <w:r>
              <w:t>о</w:t>
            </w:r>
            <w:r w:rsidR="00E14536" w:rsidRPr="00E14536">
              <w:t xml:space="preserve"> </w:t>
            </w:r>
            <w:r>
              <w:t>томе</w:t>
            </w:r>
            <w:r w:rsidR="00E14536" w:rsidRPr="00E14536">
              <w:t xml:space="preserve"> </w:t>
            </w:r>
            <w:r>
              <w:t>обавезно</w:t>
            </w:r>
            <w:r w:rsidR="00E14536" w:rsidRPr="00E14536">
              <w:t xml:space="preserve"> </w:t>
            </w:r>
            <w:r>
              <w:t>благовремено</w:t>
            </w:r>
            <w:r w:rsidR="00E14536" w:rsidRPr="00E14536">
              <w:t xml:space="preserve"> </w:t>
            </w:r>
            <w:r>
              <w:lastRenderedPageBreak/>
              <w:t>обавијестити</w:t>
            </w:r>
            <w:r w:rsidR="00E14536" w:rsidRPr="00E14536">
              <w:t xml:space="preserve"> </w:t>
            </w:r>
            <w:r>
              <w:t>ФМОН</w:t>
            </w:r>
            <w:r w:rsidR="00E14536" w:rsidRPr="00E14536">
              <w:t xml:space="preserve">. </w:t>
            </w:r>
            <w:r>
              <w:t>Информација</w:t>
            </w:r>
            <w:r w:rsidR="00E14536" w:rsidRPr="00E14536">
              <w:t xml:space="preserve"> </w:t>
            </w:r>
            <w:r>
              <w:t>о</w:t>
            </w:r>
            <w:r w:rsidR="00E14536" w:rsidRPr="00E14536">
              <w:t xml:space="preserve"> </w:t>
            </w:r>
            <w:r>
              <w:t>јавном</w:t>
            </w:r>
            <w:r w:rsidR="00E14536" w:rsidRPr="00E14536">
              <w:t xml:space="preserve"> </w:t>
            </w:r>
            <w:r>
              <w:t>представљању</w:t>
            </w:r>
            <w:r w:rsidR="00E14536" w:rsidRPr="00E14536">
              <w:t xml:space="preserve"> </w:t>
            </w:r>
            <w:r>
              <w:t>одобреног</w:t>
            </w:r>
            <w:r w:rsidR="00E14536" w:rsidRPr="00E14536">
              <w:t>/</w:t>
            </w:r>
            <w:r>
              <w:t>их</w:t>
            </w:r>
            <w:r w:rsidR="00E14536" w:rsidRPr="00E14536">
              <w:t xml:space="preserve"> </w:t>
            </w:r>
            <w:r>
              <w:t>пројек</w:t>
            </w:r>
            <w:r w:rsidR="00E14536" w:rsidRPr="00E14536">
              <w:t>(</w:t>
            </w:r>
            <w:r>
              <w:t>а</w:t>
            </w:r>
            <w:r w:rsidR="00E14536" w:rsidRPr="00E14536">
              <w:t>)</w:t>
            </w:r>
            <w:r>
              <w:t>та</w:t>
            </w:r>
            <w:r w:rsidR="00E14536" w:rsidRPr="00E14536">
              <w:t xml:space="preserve"> </w:t>
            </w:r>
            <w:r>
              <w:t>обавезно</w:t>
            </w:r>
            <w:r w:rsidR="00E14536" w:rsidRPr="00E14536">
              <w:t xml:space="preserve"> </w:t>
            </w:r>
            <w:r>
              <w:t>се</w:t>
            </w:r>
            <w:r w:rsidR="00E14536" w:rsidRPr="00E14536">
              <w:t xml:space="preserve"> </w:t>
            </w:r>
            <w:r>
              <w:t>објављује</w:t>
            </w:r>
            <w:r w:rsidR="00E14536" w:rsidRPr="00E14536">
              <w:t xml:space="preserve"> </w:t>
            </w:r>
            <w:r>
              <w:t>на</w:t>
            </w:r>
            <w:r w:rsidR="00E14536" w:rsidRPr="00E14536">
              <w:t xml:space="preserve"> </w:t>
            </w:r>
            <w:r>
              <w:t>службеној</w:t>
            </w:r>
            <w:r w:rsidR="00E14536" w:rsidRPr="00E14536">
              <w:t xml:space="preserve"> w</w:t>
            </w:r>
            <w:r>
              <w:t>еб</w:t>
            </w:r>
            <w:r w:rsidR="00E14536" w:rsidRPr="00E14536">
              <w:t xml:space="preserve"> </w:t>
            </w:r>
            <w:r>
              <w:t>страници</w:t>
            </w:r>
            <w:r w:rsidR="00E14536" w:rsidRPr="00E14536">
              <w:t xml:space="preserve"> </w:t>
            </w:r>
            <w:r>
              <w:t>институције</w:t>
            </w:r>
            <w:r w:rsidR="00E14536" w:rsidRPr="00E14536">
              <w:t xml:space="preserve">. </w:t>
            </w:r>
          </w:p>
          <w:p w14:paraId="1E354973" w14:textId="67543FEE" w:rsidR="008A43F2" w:rsidRPr="004F5281" w:rsidRDefault="00EC6BBA" w:rsidP="008E33A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Сви</w:t>
            </w:r>
            <w:r w:rsidR="00161610" w:rsidRPr="008E33AF">
              <w:t xml:space="preserve"> </w:t>
            </w:r>
            <w:r>
              <w:t>пројекти</w:t>
            </w:r>
            <w:r w:rsidR="00161610" w:rsidRPr="008E33AF">
              <w:t xml:space="preserve"> </w:t>
            </w:r>
            <w:r>
              <w:t>који</w:t>
            </w:r>
            <w:r w:rsidR="00161610" w:rsidRPr="008E33AF">
              <w:t xml:space="preserve"> </w:t>
            </w:r>
            <w:r>
              <w:t>буду</w:t>
            </w:r>
            <w:r w:rsidR="00161610" w:rsidRPr="008E33AF">
              <w:t xml:space="preserve"> </w:t>
            </w:r>
            <w:r>
              <w:t>одобрени</w:t>
            </w:r>
            <w:r w:rsidR="00161610" w:rsidRPr="008E33AF">
              <w:t xml:space="preserve"> </w:t>
            </w:r>
            <w:r>
              <w:t>у</w:t>
            </w:r>
            <w:r w:rsidR="00161610" w:rsidRPr="008E33AF">
              <w:t xml:space="preserve"> </w:t>
            </w:r>
            <w:r>
              <w:t>оквиру</w:t>
            </w:r>
            <w:r w:rsidR="00161610" w:rsidRPr="008E33AF">
              <w:t xml:space="preserve"> </w:t>
            </w:r>
            <w:r>
              <w:t>овог</w:t>
            </w:r>
            <w:r w:rsidR="00161610" w:rsidRPr="008E33AF">
              <w:t xml:space="preserve"> </w:t>
            </w:r>
            <w:r>
              <w:t>програма</w:t>
            </w:r>
            <w:r w:rsidR="00161610" w:rsidRPr="008E33AF">
              <w:t xml:space="preserve"> </w:t>
            </w:r>
            <w:r>
              <w:t>и</w:t>
            </w:r>
            <w:r w:rsidR="00161610" w:rsidRPr="008E33AF">
              <w:t xml:space="preserve"> </w:t>
            </w:r>
            <w:r>
              <w:t>реализирани</w:t>
            </w:r>
            <w:r w:rsidR="00161610" w:rsidRPr="008E33AF">
              <w:t xml:space="preserve"> </w:t>
            </w:r>
            <w:r>
              <w:t>у</w:t>
            </w:r>
            <w:r w:rsidR="00161610" w:rsidRPr="004F5281">
              <w:t xml:space="preserve"> </w:t>
            </w:r>
            <w:r>
              <w:t>децембру</w:t>
            </w:r>
            <w:r w:rsidR="00161610" w:rsidRPr="004F5281">
              <w:t xml:space="preserve"> 202</w:t>
            </w:r>
            <w:r w:rsidR="00821984" w:rsidRPr="004F5281">
              <w:t>5</w:t>
            </w:r>
            <w:r w:rsidR="00161610" w:rsidRPr="004F5281">
              <w:t xml:space="preserve">. </w:t>
            </w:r>
            <w:r>
              <w:t>године</w:t>
            </w:r>
            <w:r w:rsidR="00161610" w:rsidRPr="004F5281">
              <w:t xml:space="preserve"> </w:t>
            </w:r>
            <w:r>
              <w:t>сматрат</w:t>
            </w:r>
            <w:r w:rsidR="00161610" w:rsidRPr="004F5281">
              <w:t xml:space="preserve"> </w:t>
            </w:r>
            <w:r>
              <w:t>ће</w:t>
            </w:r>
            <w:r w:rsidR="00161610" w:rsidRPr="004F5281">
              <w:t xml:space="preserve"> </w:t>
            </w:r>
            <w:r>
              <w:t>се</w:t>
            </w:r>
            <w:r w:rsidR="00161610" w:rsidRPr="004F5281">
              <w:t xml:space="preserve"> </w:t>
            </w:r>
            <w:r>
              <w:t>интегралним</w:t>
            </w:r>
            <w:r w:rsidR="00161610" w:rsidRPr="004F5281">
              <w:t xml:space="preserve"> </w:t>
            </w:r>
            <w:r>
              <w:t>дијелом</w:t>
            </w:r>
            <w:r w:rsidR="00161610" w:rsidRPr="004F5281">
              <w:t xml:space="preserve"> </w:t>
            </w:r>
            <w:r>
              <w:t>програма</w:t>
            </w:r>
            <w:r w:rsidR="00161610" w:rsidRPr="004F5281">
              <w:t xml:space="preserve"> </w:t>
            </w:r>
            <w:r>
              <w:t>обиљежавања</w:t>
            </w:r>
            <w:r w:rsidR="00161610" w:rsidRPr="004F5281">
              <w:t xml:space="preserve"> </w:t>
            </w:r>
            <w:r>
              <w:t>овогодишњег</w:t>
            </w:r>
            <w:r w:rsidR="00161610" w:rsidRPr="004F5281">
              <w:t xml:space="preserve"> </w:t>
            </w:r>
            <w:r w:rsidR="00E14536" w:rsidRPr="004F5281">
              <w:t>„</w:t>
            </w:r>
            <w:r>
              <w:t>Дана</w:t>
            </w:r>
            <w:r w:rsidR="00161610" w:rsidRPr="004F5281">
              <w:t xml:space="preserve"> </w:t>
            </w:r>
            <w:r>
              <w:t>науке</w:t>
            </w:r>
            <w:r w:rsidR="00161610" w:rsidRPr="004F5281">
              <w:t xml:space="preserve"> </w:t>
            </w:r>
            <w:r>
              <w:t>у</w:t>
            </w:r>
            <w:r w:rsidR="00161610" w:rsidRPr="004F5281">
              <w:t xml:space="preserve"> </w:t>
            </w:r>
            <w:r>
              <w:t>Федерацији</w:t>
            </w:r>
            <w:r w:rsidR="00161610" w:rsidRPr="004F5281">
              <w:t xml:space="preserve"> </w:t>
            </w:r>
            <w:r>
              <w:t>БиХ</w:t>
            </w:r>
            <w:r w:rsidR="00E14536" w:rsidRPr="004F5281">
              <w:t>“.</w:t>
            </w:r>
          </w:p>
          <w:p w14:paraId="620AC981" w14:textId="3BBBD7C2" w:rsidR="00E14536" w:rsidRPr="004F5281" w:rsidRDefault="00EC6BBA" w:rsidP="008E33A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Сви</w:t>
            </w:r>
            <w:r w:rsidR="00E14536" w:rsidRPr="004F5281">
              <w:t xml:space="preserve"> </w:t>
            </w:r>
            <w:r>
              <w:t>пројекти</w:t>
            </w:r>
            <w:r w:rsidR="00E14536" w:rsidRPr="004F5281">
              <w:t xml:space="preserve"> </w:t>
            </w:r>
            <w:r>
              <w:t>које</w:t>
            </w:r>
            <w:r w:rsidR="00E14536" w:rsidRPr="004F5281">
              <w:t xml:space="preserve"> </w:t>
            </w:r>
            <w:r>
              <w:t>је</w:t>
            </w:r>
            <w:r w:rsidR="00E14536" w:rsidRPr="004F5281">
              <w:t xml:space="preserve"> </w:t>
            </w:r>
            <w:r>
              <w:t>ФМОН</w:t>
            </w:r>
            <w:r w:rsidR="00E14536" w:rsidRPr="004F5281">
              <w:t xml:space="preserve"> </w:t>
            </w:r>
            <w:r>
              <w:t>финансијски</w:t>
            </w:r>
            <w:r w:rsidR="00E14536" w:rsidRPr="004F5281">
              <w:t xml:space="preserve"> </w:t>
            </w:r>
            <w:r>
              <w:t>подржао</w:t>
            </w:r>
            <w:r w:rsidR="00E14536" w:rsidRPr="004F5281">
              <w:t xml:space="preserve"> </w:t>
            </w:r>
            <w:r>
              <w:t>морају</w:t>
            </w:r>
            <w:r w:rsidR="00E14536" w:rsidRPr="004F5281">
              <w:t xml:space="preserve"> </w:t>
            </w:r>
            <w:r>
              <w:t>имати</w:t>
            </w:r>
            <w:r w:rsidR="00E14536" w:rsidRPr="004F5281">
              <w:t xml:space="preserve"> </w:t>
            </w:r>
            <w:r>
              <w:t>јасно</w:t>
            </w:r>
            <w:r w:rsidR="00E14536" w:rsidRPr="004F5281">
              <w:t xml:space="preserve"> </w:t>
            </w:r>
            <w:r>
              <w:t>истакнуту</w:t>
            </w:r>
            <w:r w:rsidR="00E14536" w:rsidRPr="004F5281">
              <w:t xml:space="preserve"> </w:t>
            </w:r>
            <w:r>
              <w:t>реченицу</w:t>
            </w:r>
            <w:r w:rsidR="00E14536" w:rsidRPr="004F5281">
              <w:t xml:space="preserve"> </w:t>
            </w:r>
            <w:r>
              <w:t>на</w:t>
            </w:r>
            <w:r w:rsidR="00E14536" w:rsidRPr="004F5281">
              <w:t xml:space="preserve"> </w:t>
            </w:r>
            <w:r>
              <w:t>видљивој</w:t>
            </w:r>
            <w:r w:rsidR="00E14536" w:rsidRPr="004F5281">
              <w:t xml:space="preserve"> </w:t>
            </w:r>
            <w:r>
              <w:t>позицији</w:t>
            </w:r>
            <w:r w:rsidR="00E14536" w:rsidRPr="004F5281">
              <w:t xml:space="preserve"> </w:t>
            </w:r>
            <w:r>
              <w:t>у</w:t>
            </w:r>
            <w:r w:rsidR="00E14536" w:rsidRPr="004F5281">
              <w:t xml:space="preserve"> </w:t>
            </w:r>
            <w:r>
              <w:t>чланку</w:t>
            </w:r>
            <w:r w:rsidR="00E14536" w:rsidRPr="004F5281">
              <w:t xml:space="preserve">, </w:t>
            </w:r>
            <w:r>
              <w:t>импресуму</w:t>
            </w:r>
            <w:r w:rsidR="00E14536" w:rsidRPr="004F5281">
              <w:t xml:space="preserve"> </w:t>
            </w:r>
            <w:r>
              <w:t>књиге</w:t>
            </w:r>
            <w:r w:rsidR="00E14536" w:rsidRPr="004F5281">
              <w:t xml:space="preserve">, </w:t>
            </w:r>
            <w:r>
              <w:t>на</w:t>
            </w:r>
            <w:r w:rsidR="00E14536" w:rsidRPr="004F5281">
              <w:t xml:space="preserve"> </w:t>
            </w:r>
            <w:r>
              <w:t>насловној</w:t>
            </w:r>
            <w:r w:rsidR="00E14536" w:rsidRPr="004F5281">
              <w:t xml:space="preserve"> </w:t>
            </w:r>
            <w:r>
              <w:t>страни</w:t>
            </w:r>
            <w:r w:rsidR="00E14536" w:rsidRPr="004F5281">
              <w:t xml:space="preserve"> </w:t>
            </w:r>
            <w:r>
              <w:t>презентације</w:t>
            </w:r>
            <w:r w:rsidR="00E14536" w:rsidRPr="004F5281">
              <w:t xml:space="preserve"> </w:t>
            </w:r>
            <w:r>
              <w:t>или</w:t>
            </w:r>
            <w:r w:rsidR="00E14536" w:rsidRPr="004F5281">
              <w:t xml:space="preserve"> </w:t>
            </w:r>
            <w:r>
              <w:t>неком</w:t>
            </w:r>
            <w:r w:rsidR="00E14536" w:rsidRPr="004F5281">
              <w:t xml:space="preserve"> </w:t>
            </w:r>
            <w:r>
              <w:t>другом</w:t>
            </w:r>
            <w:r w:rsidR="00E14536" w:rsidRPr="004F5281">
              <w:t xml:space="preserve"> </w:t>
            </w:r>
            <w:r>
              <w:t>облику</w:t>
            </w:r>
            <w:r w:rsidR="00E14536" w:rsidRPr="004F5281">
              <w:t xml:space="preserve"> </w:t>
            </w:r>
            <w:r>
              <w:t>јавног</w:t>
            </w:r>
            <w:r w:rsidR="00E14536" w:rsidRPr="004F5281">
              <w:t xml:space="preserve"> </w:t>
            </w:r>
            <w:r>
              <w:t>представљања</w:t>
            </w:r>
            <w:r w:rsidR="00E14536" w:rsidRPr="004F5281">
              <w:t xml:space="preserve"> </w:t>
            </w:r>
            <w:r>
              <w:t>резултата</w:t>
            </w:r>
            <w:r w:rsidR="00E14536" w:rsidRPr="004F5281">
              <w:t xml:space="preserve"> </w:t>
            </w:r>
            <w:r>
              <w:t>пројекта</w:t>
            </w:r>
            <w:r w:rsidR="00E14536" w:rsidRPr="004F5281">
              <w:t>: „</w:t>
            </w:r>
            <w:r>
              <w:rPr>
                <w:i/>
                <w:iCs/>
              </w:rPr>
              <w:t>Овај</w:t>
            </w:r>
            <w:r w:rsidR="00E14536" w:rsidRPr="00FF3F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пројекат</w:t>
            </w:r>
            <w:r w:rsidR="00E14536" w:rsidRPr="00FF3F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је</w:t>
            </w:r>
            <w:r w:rsidR="00E14536" w:rsidRPr="00FF3F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подржан</w:t>
            </w:r>
            <w:r w:rsidR="00E14536" w:rsidRPr="00FF3F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</w:t>
            </w:r>
            <w:r w:rsidR="00E14536" w:rsidRPr="00FF3F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стране</w:t>
            </w:r>
            <w:r w:rsidR="00E14536" w:rsidRPr="00FF3F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Федералног</w:t>
            </w:r>
            <w:r w:rsidR="00E14536" w:rsidRPr="00FF3F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министарства</w:t>
            </w:r>
            <w:r w:rsidR="00E14536" w:rsidRPr="00FF3F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образовања</w:t>
            </w:r>
            <w:r w:rsidR="00E14536" w:rsidRPr="00FF3F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 w:rsidR="00E14536" w:rsidRPr="00FF3F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науке</w:t>
            </w:r>
            <w:r w:rsidR="00E14536" w:rsidRPr="004F5281">
              <w:t xml:space="preserve">.“ </w:t>
            </w:r>
            <w:r>
              <w:t>Публикације</w:t>
            </w:r>
            <w:r w:rsidR="00E14536" w:rsidRPr="004F5281">
              <w:t xml:space="preserve"> </w:t>
            </w:r>
            <w:r>
              <w:t>односно</w:t>
            </w:r>
            <w:r w:rsidR="00E14536" w:rsidRPr="004F5281">
              <w:t xml:space="preserve"> </w:t>
            </w:r>
            <w:r>
              <w:t>презентације</w:t>
            </w:r>
            <w:r w:rsidR="00E14536" w:rsidRPr="004F5281">
              <w:t xml:space="preserve"> </w:t>
            </w:r>
            <w:r>
              <w:t>на</w:t>
            </w:r>
            <w:r w:rsidR="00E14536" w:rsidRPr="004F5281">
              <w:t xml:space="preserve"> </w:t>
            </w:r>
            <w:r>
              <w:t>страним</w:t>
            </w:r>
            <w:r w:rsidR="00E14536" w:rsidRPr="004F5281">
              <w:t xml:space="preserve"> </w:t>
            </w:r>
            <w:r>
              <w:t>језицима</w:t>
            </w:r>
            <w:r w:rsidR="00E14536" w:rsidRPr="004F5281">
              <w:t xml:space="preserve"> </w:t>
            </w:r>
            <w:r>
              <w:t>морају</w:t>
            </w:r>
            <w:r w:rsidR="00E14536" w:rsidRPr="004F5281">
              <w:t xml:space="preserve"> </w:t>
            </w:r>
            <w:r>
              <w:t>имати</w:t>
            </w:r>
            <w:r w:rsidR="00E14536" w:rsidRPr="004F5281">
              <w:t xml:space="preserve"> </w:t>
            </w:r>
            <w:r>
              <w:t>истовјетну</w:t>
            </w:r>
            <w:r w:rsidR="00E14536" w:rsidRPr="004F5281">
              <w:t xml:space="preserve"> </w:t>
            </w:r>
            <w:r>
              <w:t>реченицу</w:t>
            </w:r>
            <w:r w:rsidR="00E14536" w:rsidRPr="004F5281">
              <w:t xml:space="preserve"> </w:t>
            </w:r>
            <w:r>
              <w:t>наведену</w:t>
            </w:r>
            <w:r w:rsidR="00E14536" w:rsidRPr="004F5281">
              <w:t xml:space="preserve"> </w:t>
            </w:r>
            <w:r>
              <w:t>на</w:t>
            </w:r>
            <w:r w:rsidR="00E14536" w:rsidRPr="004F5281">
              <w:t xml:space="preserve"> </w:t>
            </w:r>
            <w:r>
              <w:t>језику</w:t>
            </w:r>
            <w:r w:rsidR="00E14536" w:rsidRPr="004F5281">
              <w:t xml:space="preserve"> </w:t>
            </w:r>
            <w:r>
              <w:t>на</w:t>
            </w:r>
            <w:r w:rsidR="00E14536" w:rsidRPr="004F5281">
              <w:t xml:space="preserve"> </w:t>
            </w:r>
            <w:r>
              <w:t>којем</w:t>
            </w:r>
            <w:r w:rsidR="00E14536" w:rsidRPr="004F5281">
              <w:t xml:space="preserve"> </w:t>
            </w:r>
            <w:r>
              <w:t>је</w:t>
            </w:r>
            <w:r w:rsidR="00E14536" w:rsidRPr="004F5281">
              <w:t xml:space="preserve"> </w:t>
            </w:r>
            <w:r>
              <w:t>научни</w:t>
            </w:r>
            <w:r w:rsidR="00E14536" w:rsidRPr="004F5281">
              <w:t xml:space="preserve"> </w:t>
            </w:r>
            <w:r>
              <w:t>рад</w:t>
            </w:r>
            <w:r w:rsidR="00E14536" w:rsidRPr="004F5281">
              <w:t xml:space="preserve"> </w:t>
            </w:r>
            <w:r>
              <w:t>објављен</w:t>
            </w:r>
            <w:r w:rsidR="00E14536" w:rsidRPr="004F5281">
              <w:t xml:space="preserve">. </w:t>
            </w:r>
            <w:r>
              <w:t>Уз</w:t>
            </w:r>
            <w:r w:rsidR="00E14536" w:rsidRPr="004F5281">
              <w:t xml:space="preserve"> </w:t>
            </w:r>
            <w:r>
              <w:t>ову</w:t>
            </w:r>
            <w:r w:rsidR="00E14536" w:rsidRPr="004F5281">
              <w:t xml:space="preserve"> </w:t>
            </w:r>
            <w:r>
              <w:t>реченицу</w:t>
            </w:r>
            <w:r w:rsidR="00E14536" w:rsidRPr="004F5281">
              <w:t xml:space="preserve"> </w:t>
            </w:r>
            <w:r>
              <w:t>потребно</w:t>
            </w:r>
            <w:r w:rsidR="00E14536" w:rsidRPr="004F5281">
              <w:t xml:space="preserve"> </w:t>
            </w:r>
            <w:r>
              <w:t>је</w:t>
            </w:r>
            <w:r w:rsidR="00E14536" w:rsidRPr="004F5281">
              <w:t xml:space="preserve"> </w:t>
            </w:r>
            <w:r>
              <w:t>навести</w:t>
            </w:r>
            <w:r w:rsidR="00E14536" w:rsidRPr="004F5281">
              <w:t xml:space="preserve"> </w:t>
            </w:r>
            <w:r>
              <w:t>званичан</w:t>
            </w:r>
            <w:r w:rsidR="00E14536" w:rsidRPr="004F5281">
              <w:t xml:space="preserve"> </w:t>
            </w:r>
            <w:r>
              <w:t>лого</w:t>
            </w:r>
            <w:r w:rsidR="00E14536" w:rsidRPr="004F5281">
              <w:t xml:space="preserve"> </w:t>
            </w:r>
            <w:r>
              <w:t>ФМОН</w:t>
            </w:r>
            <w:r w:rsidR="00E14536" w:rsidRPr="004F5281">
              <w:t xml:space="preserve"> </w:t>
            </w:r>
            <w:r>
              <w:t>када</w:t>
            </w:r>
            <w:r w:rsidR="00E14536" w:rsidRPr="004F5281">
              <w:t xml:space="preserve"> </w:t>
            </w:r>
            <w:r>
              <w:t>је</w:t>
            </w:r>
            <w:r w:rsidR="00E14536" w:rsidRPr="004F5281">
              <w:t xml:space="preserve"> </w:t>
            </w:r>
            <w:r>
              <w:t>то</w:t>
            </w:r>
            <w:r w:rsidR="00E14536" w:rsidRPr="004F5281">
              <w:t xml:space="preserve"> </w:t>
            </w:r>
            <w:r>
              <w:t>могуће</w:t>
            </w:r>
            <w:r w:rsidR="00E14536" w:rsidRPr="004F5281">
              <w:t>.</w:t>
            </w:r>
          </w:p>
          <w:p w14:paraId="4DAE75DA" w14:textId="12A7A4FE" w:rsidR="00E14536" w:rsidRPr="004F5281" w:rsidRDefault="00EC6BBA" w:rsidP="008E33AF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Сви</w:t>
            </w:r>
            <w:r w:rsidR="00E14536" w:rsidRPr="004F5281">
              <w:t xml:space="preserve"> </w:t>
            </w:r>
            <w:r>
              <w:t>пројекти</w:t>
            </w:r>
            <w:r w:rsidR="00E14536" w:rsidRPr="004F5281">
              <w:t xml:space="preserve"> </w:t>
            </w:r>
            <w:r>
              <w:t>које</w:t>
            </w:r>
            <w:r w:rsidR="00E14536" w:rsidRPr="004F5281">
              <w:t xml:space="preserve"> </w:t>
            </w:r>
            <w:r>
              <w:t>је</w:t>
            </w:r>
            <w:r w:rsidR="00E14536" w:rsidRPr="004F5281">
              <w:t xml:space="preserve"> </w:t>
            </w:r>
            <w:r>
              <w:t>Министарство</w:t>
            </w:r>
            <w:r w:rsidR="00E14536" w:rsidRPr="004F5281">
              <w:t xml:space="preserve"> </w:t>
            </w:r>
            <w:r>
              <w:t>финансијски</w:t>
            </w:r>
            <w:r w:rsidR="00E14536" w:rsidRPr="004F5281">
              <w:t xml:space="preserve"> </w:t>
            </w:r>
            <w:r>
              <w:t>подржало</w:t>
            </w:r>
            <w:r w:rsidR="00E14536" w:rsidRPr="004F5281">
              <w:t xml:space="preserve"> </w:t>
            </w:r>
            <w:r>
              <w:t>морају</w:t>
            </w:r>
            <w:r w:rsidR="00E14536" w:rsidRPr="004F5281">
              <w:t xml:space="preserve"> </w:t>
            </w:r>
            <w:r>
              <w:t>имати</w:t>
            </w:r>
            <w:r w:rsidR="00E14536" w:rsidRPr="004F5281">
              <w:t xml:space="preserve"> </w:t>
            </w:r>
            <w:r>
              <w:t>јасно</w:t>
            </w:r>
            <w:r w:rsidR="00E14536" w:rsidRPr="004F5281">
              <w:t xml:space="preserve"> </w:t>
            </w:r>
            <w:r>
              <w:t>истакнуту</w:t>
            </w:r>
            <w:r w:rsidR="00E14536" w:rsidRPr="004F5281">
              <w:t xml:space="preserve"> </w:t>
            </w:r>
            <w:r>
              <w:t>наљепницу</w:t>
            </w:r>
            <w:r w:rsidR="00E14536" w:rsidRPr="004F5281">
              <w:t xml:space="preserve"> </w:t>
            </w:r>
            <w:r>
              <w:t>са</w:t>
            </w:r>
            <w:r w:rsidR="00E14536" w:rsidRPr="004F5281">
              <w:t xml:space="preserve"> </w:t>
            </w:r>
            <w:r>
              <w:t>логом</w:t>
            </w:r>
            <w:r w:rsidR="00E14536" w:rsidRPr="004F5281">
              <w:t xml:space="preserve"> </w:t>
            </w:r>
            <w:r>
              <w:t>ФМОН</w:t>
            </w:r>
            <w:r w:rsidR="00E14536" w:rsidRPr="004F5281">
              <w:t xml:space="preserve"> </w:t>
            </w:r>
            <w:r>
              <w:t>на</w:t>
            </w:r>
            <w:r w:rsidR="00E14536" w:rsidRPr="004F5281">
              <w:t xml:space="preserve"> </w:t>
            </w:r>
            <w:r>
              <w:t>опреми</w:t>
            </w:r>
            <w:r w:rsidR="00E14536" w:rsidRPr="004F5281">
              <w:t xml:space="preserve"> </w:t>
            </w:r>
            <w:r>
              <w:t>која</w:t>
            </w:r>
            <w:r w:rsidR="00E14536" w:rsidRPr="004F5281">
              <w:t xml:space="preserve"> </w:t>
            </w:r>
            <w:r>
              <w:t>је</w:t>
            </w:r>
            <w:r w:rsidR="00E14536" w:rsidRPr="004F5281">
              <w:t xml:space="preserve"> </w:t>
            </w:r>
            <w:r>
              <w:t>набављена</w:t>
            </w:r>
            <w:r w:rsidR="00E14536" w:rsidRPr="004F5281">
              <w:t xml:space="preserve"> </w:t>
            </w:r>
            <w:r>
              <w:t>у</w:t>
            </w:r>
            <w:r w:rsidR="00E14536" w:rsidRPr="004F5281">
              <w:t xml:space="preserve"> </w:t>
            </w:r>
            <w:r>
              <w:t>оквиру</w:t>
            </w:r>
            <w:r w:rsidR="00E14536" w:rsidRPr="004F5281">
              <w:t xml:space="preserve"> </w:t>
            </w:r>
            <w:r>
              <w:t>пројекта</w:t>
            </w:r>
            <w:r w:rsidR="00E14536" w:rsidRPr="004F5281">
              <w:t>.</w:t>
            </w:r>
          </w:p>
          <w:p w14:paraId="6C614F26" w14:textId="06BBE6D6" w:rsidR="00E14536" w:rsidRPr="008D6338" w:rsidRDefault="00EC6BBA" w:rsidP="008E33AF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FF0000"/>
              </w:rPr>
            </w:pPr>
            <w:r>
              <w:t>Министарство</w:t>
            </w:r>
            <w:r w:rsidR="004F5281" w:rsidRPr="004F5281">
              <w:t xml:space="preserve"> </w:t>
            </w:r>
            <w:r>
              <w:t>ће</w:t>
            </w:r>
            <w:r w:rsidR="004F5281" w:rsidRPr="004F5281">
              <w:t xml:space="preserve"> </w:t>
            </w:r>
            <w:r>
              <w:t>на</w:t>
            </w:r>
            <w:r w:rsidR="004F5281" w:rsidRPr="004F5281">
              <w:t xml:space="preserve"> </w:t>
            </w:r>
            <w:r>
              <w:t>својој</w:t>
            </w:r>
            <w:r w:rsidR="004F5281" w:rsidRPr="004F5281">
              <w:t xml:space="preserve"> </w:t>
            </w:r>
            <w:r>
              <w:t>интернет</w:t>
            </w:r>
            <w:r w:rsidR="004F5281" w:rsidRPr="004F5281">
              <w:t xml:space="preserve"> </w:t>
            </w:r>
            <w:r>
              <w:t>страници</w:t>
            </w:r>
            <w:r w:rsidR="004F5281" w:rsidRPr="004F5281">
              <w:t xml:space="preserve"> </w:t>
            </w:r>
            <w:r>
              <w:t>учинити</w:t>
            </w:r>
            <w:r w:rsidR="004F5281" w:rsidRPr="004F5281">
              <w:t xml:space="preserve"> </w:t>
            </w:r>
            <w:r>
              <w:t>доступним</w:t>
            </w:r>
            <w:r w:rsidR="004F5281" w:rsidRPr="004F5281">
              <w:t xml:space="preserve"> </w:t>
            </w:r>
            <w:r>
              <w:t>стандардизиран</w:t>
            </w:r>
            <w:r w:rsidR="004F5281" w:rsidRPr="004F5281">
              <w:t xml:space="preserve"> </w:t>
            </w:r>
            <w:r>
              <w:t>лого</w:t>
            </w:r>
            <w:r w:rsidR="004F5281" w:rsidRPr="004F5281">
              <w:t xml:space="preserve"> </w:t>
            </w:r>
            <w:r>
              <w:t>ФМОН</w:t>
            </w:r>
            <w:r w:rsidR="004F5281" w:rsidRPr="004F5281">
              <w:t xml:space="preserve"> </w:t>
            </w:r>
            <w:r>
              <w:t>припремљен</w:t>
            </w:r>
            <w:r w:rsidR="004F5281" w:rsidRPr="004F5281">
              <w:t xml:space="preserve"> </w:t>
            </w:r>
            <w:r>
              <w:t>за</w:t>
            </w:r>
            <w:r w:rsidR="004F5281" w:rsidRPr="004F5281">
              <w:t xml:space="preserve"> </w:t>
            </w:r>
            <w:r>
              <w:t>штампање</w:t>
            </w:r>
            <w:r w:rsidR="004F5281" w:rsidRPr="004F5281">
              <w:t xml:space="preserve"> </w:t>
            </w:r>
            <w:r>
              <w:t>на</w:t>
            </w:r>
            <w:r w:rsidR="004F5281" w:rsidRPr="004F5281">
              <w:t xml:space="preserve"> </w:t>
            </w:r>
            <w:r>
              <w:t>материјалима</w:t>
            </w:r>
            <w:r w:rsidR="004F5281" w:rsidRPr="004F5281">
              <w:t xml:space="preserve"> </w:t>
            </w:r>
            <w:r>
              <w:t>и</w:t>
            </w:r>
            <w:r w:rsidR="004F5281" w:rsidRPr="004F5281">
              <w:t xml:space="preserve"> </w:t>
            </w:r>
            <w:r>
              <w:t>наљепницама</w:t>
            </w:r>
            <w:r w:rsidR="004F5281" w:rsidRPr="004F5281">
              <w:t xml:space="preserve">.   </w:t>
            </w:r>
          </w:p>
        </w:tc>
      </w:tr>
      <w:tr w:rsidR="008A43F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Default="00122D47" w:rsidP="00531CAA">
            <w:r>
              <w:lastRenderedPageBreak/>
              <w:t>10</w:t>
            </w:r>
          </w:p>
        </w:tc>
        <w:tc>
          <w:tcPr>
            <w:tcW w:w="3202" w:type="dxa"/>
            <w:vAlign w:val="center"/>
          </w:tcPr>
          <w:p w14:paraId="17FA8FC2" w14:textId="70CD82B3" w:rsidR="008A43F2" w:rsidRPr="00102F11" w:rsidRDefault="00EC6BBA" w:rsidP="005971C4">
            <w:pPr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поступка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административне</w:t>
            </w:r>
            <w:r w:rsid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провјере</w:t>
            </w:r>
            <w:r w:rsidR="005971C4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селекције</w:t>
            </w:r>
            <w:r w:rsidR="005971C4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пријаве</w:t>
            </w:r>
          </w:p>
        </w:tc>
        <w:tc>
          <w:tcPr>
            <w:tcW w:w="6390" w:type="dxa"/>
            <w:vAlign w:val="center"/>
          </w:tcPr>
          <w:p w14:paraId="3A933096" w14:textId="396879FC" w:rsidR="008E33AF" w:rsidRDefault="00EC6BBA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>Сектор</w:t>
            </w:r>
            <w:r w:rsidR="004F5281" w:rsidRPr="004F5281">
              <w:t xml:space="preserve"> </w:t>
            </w:r>
            <w:r>
              <w:t>за</w:t>
            </w:r>
            <w:r w:rsidR="004F5281" w:rsidRPr="004F5281">
              <w:t xml:space="preserve"> </w:t>
            </w:r>
            <w:r>
              <w:t>науку</w:t>
            </w:r>
            <w:r w:rsidR="004F5281" w:rsidRPr="004F5281">
              <w:t xml:space="preserve"> </w:t>
            </w:r>
            <w:r>
              <w:t>и</w:t>
            </w:r>
            <w:r w:rsidR="004F5281" w:rsidRPr="004F5281">
              <w:t xml:space="preserve"> </w:t>
            </w:r>
            <w:r>
              <w:t>технологију</w:t>
            </w:r>
            <w:r w:rsidR="004F5281" w:rsidRPr="004F5281">
              <w:t xml:space="preserve"> </w:t>
            </w:r>
            <w:r>
              <w:t>ФМОН</w:t>
            </w:r>
            <w:r w:rsidR="004F5281" w:rsidRPr="004F5281">
              <w:t xml:space="preserve"> </w:t>
            </w:r>
            <w:r>
              <w:t>врши</w:t>
            </w:r>
            <w:r w:rsidR="004F5281" w:rsidRPr="004F5281">
              <w:t xml:space="preserve"> </w:t>
            </w:r>
            <w:r>
              <w:t>преглед</w:t>
            </w:r>
            <w:r w:rsidR="004F5281" w:rsidRPr="004F5281">
              <w:t xml:space="preserve"> </w:t>
            </w:r>
            <w:r>
              <w:t>достављене</w:t>
            </w:r>
            <w:r w:rsidR="004F5281" w:rsidRPr="004F5281">
              <w:t xml:space="preserve"> </w:t>
            </w:r>
            <w:r>
              <w:t>документације</w:t>
            </w:r>
            <w:r w:rsidR="004F5281" w:rsidRPr="004F5281">
              <w:t xml:space="preserve"> </w:t>
            </w:r>
            <w:r>
              <w:t>и</w:t>
            </w:r>
            <w:r w:rsidR="004F5281" w:rsidRPr="004F5281">
              <w:t xml:space="preserve"> </w:t>
            </w:r>
            <w:r>
              <w:t>припрема</w:t>
            </w:r>
            <w:r w:rsidR="004F5281" w:rsidRPr="004F5281">
              <w:t xml:space="preserve"> </w:t>
            </w:r>
            <w:r>
              <w:t>листу</w:t>
            </w:r>
            <w:r w:rsidR="004F5281" w:rsidRPr="004F5281">
              <w:t xml:space="preserve"> </w:t>
            </w:r>
            <w:r>
              <w:t>потпуних</w:t>
            </w:r>
            <w:r w:rsidR="004F5281" w:rsidRPr="004F5281">
              <w:t xml:space="preserve"> </w:t>
            </w:r>
            <w:r>
              <w:t>и</w:t>
            </w:r>
            <w:r w:rsidR="004F5281" w:rsidRPr="004F5281">
              <w:t xml:space="preserve"> </w:t>
            </w:r>
            <w:r>
              <w:t>непотпуних</w:t>
            </w:r>
            <w:r w:rsidR="004F5281" w:rsidRPr="004F5281">
              <w:t xml:space="preserve"> </w:t>
            </w:r>
            <w:r>
              <w:t>пријава</w:t>
            </w:r>
            <w:r w:rsidR="004F5281" w:rsidRPr="004F5281">
              <w:t xml:space="preserve"> </w:t>
            </w:r>
            <w:r>
              <w:t>на</w:t>
            </w:r>
            <w:r w:rsidR="004F5281" w:rsidRPr="004F5281">
              <w:t xml:space="preserve"> </w:t>
            </w:r>
            <w:r>
              <w:t>Јавни</w:t>
            </w:r>
            <w:r w:rsidR="004F5281" w:rsidRPr="004F5281">
              <w:t xml:space="preserve"> </w:t>
            </w:r>
            <w:r>
              <w:t>позив</w:t>
            </w:r>
            <w:r w:rsidR="004F5281" w:rsidRPr="004F5281">
              <w:t>.</w:t>
            </w:r>
          </w:p>
          <w:p w14:paraId="59545E12" w14:textId="00DC941E" w:rsidR="004F5281" w:rsidRDefault="00EC6BBA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>Апликантима</w:t>
            </w:r>
            <w:r w:rsidR="004F5281" w:rsidRPr="004F5281">
              <w:t xml:space="preserve"> </w:t>
            </w:r>
            <w:r>
              <w:t>са</w:t>
            </w:r>
            <w:r w:rsidR="004F5281" w:rsidRPr="004F5281">
              <w:t xml:space="preserve"> </w:t>
            </w:r>
            <w:r>
              <w:t>непотпуним</w:t>
            </w:r>
            <w:r w:rsidR="004F5281" w:rsidRPr="004F5281">
              <w:t xml:space="preserve"> </w:t>
            </w:r>
            <w:r>
              <w:t>пријавама</w:t>
            </w:r>
            <w:r w:rsidR="004F5281" w:rsidRPr="004F5281">
              <w:t xml:space="preserve"> </w:t>
            </w:r>
            <w:r>
              <w:t>се</w:t>
            </w:r>
            <w:r w:rsidR="004F5281" w:rsidRPr="004F5281">
              <w:t xml:space="preserve"> </w:t>
            </w:r>
            <w:r>
              <w:t>даје</w:t>
            </w:r>
            <w:r w:rsidR="004F5281" w:rsidRPr="004F5281">
              <w:t xml:space="preserve"> </w:t>
            </w:r>
            <w:r>
              <w:t>рок</w:t>
            </w:r>
            <w:r w:rsidR="004F5281" w:rsidRPr="004F5281">
              <w:t xml:space="preserve"> </w:t>
            </w:r>
            <w:r>
              <w:t>од</w:t>
            </w:r>
            <w:r w:rsidR="004F5281" w:rsidRPr="004F5281">
              <w:t xml:space="preserve"> 7 </w:t>
            </w:r>
            <w:r>
              <w:t>дана</w:t>
            </w:r>
            <w:r w:rsidR="004F5281" w:rsidRPr="004F5281">
              <w:t xml:space="preserve"> </w:t>
            </w:r>
            <w:r>
              <w:t>да</w:t>
            </w:r>
            <w:r w:rsidR="004F5281" w:rsidRPr="004F5281">
              <w:t xml:space="preserve"> </w:t>
            </w:r>
            <w:r>
              <w:t>допуне</w:t>
            </w:r>
            <w:r w:rsidR="004F5281" w:rsidRPr="004F5281">
              <w:t xml:space="preserve"> </w:t>
            </w:r>
            <w:r>
              <w:t>пријаву</w:t>
            </w:r>
            <w:r w:rsidR="004F5281" w:rsidRPr="004F5281">
              <w:t>.</w:t>
            </w:r>
          </w:p>
          <w:p w14:paraId="4FB530A2" w14:textId="649831D1" w:rsidR="004F5281" w:rsidRDefault="00EC6BBA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>Непотпуне</w:t>
            </w:r>
            <w:r w:rsidR="004F5281" w:rsidRPr="004F5281">
              <w:t xml:space="preserve"> </w:t>
            </w:r>
            <w:r>
              <w:t>пријаве</w:t>
            </w:r>
            <w:r w:rsidR="004F5281" w:rsidRPr="004F5281">
              <w:t xml:space="preserve"> </w:t>
            </w:r>
            <w:r>
              <w:t>неће</w:t>
            </w:r>
            <w:r w:rsidR="004F5281" w:rsidRPr="004F5281">
              <w:t xml:space="preserve"> </w:t>
            </w:r>
            <w:r>
              <w:t>бити</w:t>
            </w:r>
            <w:r w:rsidR="004F5281" w:rsidRPr="004F5281">
              <w:t xml:space="preserve"> </w:t>
            </w:r>
            <w:r>
              <w:t>узете</w:t>
            </w:r>
            <w:r w:rsidR="004F5281" w:rsidRPr="004F5281">
              <w:t xml:space="preserve"> </w:t>
            </w:r>
            <w:r>
              <w:t>у</w:t>
            </w:r>
            <w:r w:rsidR="004F5281" w:rsidRPr="004F5281">
              <w:t xml:space="preserve"> </w:t>
            </w:r>
            <w:r>
              <w:t>разматрање</w:t>
            </w:r>
            <w:r w:rsidR="004F5281" w:rsidRPr="004F5281">
              <w:t xml:space="preserve"> </w:t>
            </w:r>
            <w:r>
              <w:t>уколико</w:t>
            </w:r>
            <w:r w:rsidR="004F5281" w:rsidRPr="004F5281">
              <w:t xml:space="preserve"> </w:t>
            </w:r>
            <w:r>
              <w:t>се</w:t>
            </w:r>
            <w:r w:rsidR="004F5281" w:rsidRPr="004F5281">
              <w:t xml:space="preserve"> </w:t>
            </w:r>
            <w:r>
              <w:t>не</w:t>
            </w:r>
            <w:r w:rsidR="004F5281" w:rsidRPr="004F5281">
              <w:t xml:space="preserve"> </w:t>
            </w:r>
            <w:r>
              <w:t>допуне</w:t>
            </w:r>
            <w:r w:rsidR="004F5281" w:rsidRPr="004F5281">
              <w:t xml:space="preserve"> </w:t>
            </w:r>
            <w:r>
              <w:t>одговарајућом</w:t>
            </w:r>
            <w:r w:rsidR="004F5281">
              <w:t xml:space="preserve"> </w:t>
            </w:r>
            <w:r>
              <w:t>документацијом</w:t>
            </w:r>
            <w:r w:rsidR="004F5281" w:rsidRPr="004F5281">
              <w:t>.</w:t>
            </w:r>
          </w:p>
          <w:p w14:paraId="62D4BB27" w14:textId="26312CFA" w:rsidR="004F5281" w:rsidRDefault="00EC6BBA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>Пријаве</w:t>
            </w:r>
            <w:r w:rsidR="004F5281" w:rsidRPr="004F5281">
              <w:t xml:space="preserve"> </w:t>
            </w:r>
            <w:r>
              <w:t>пројеката</w:t>
            </w:r>
            <w:r w:rsidR="004F5281" w:rsidRPr="004F5281">
              <w:t xml:space="preserve"> </w:t>
            </w:r>
            <w:r>
              <w:t>чији</w:t>
            </w:r>
            <w:r w:rsidR="004F5281" w:rsidRPr="004F5281">
              <w:t xml:space="preserve"> </w:t>
            </w:r>
            <w:r>
              <w:t>апликанти</w:t>
            </w:r>
            <w:r w:rsidR="004F5281" w:rsidRPr="004F5281">
              <w:t xml:space="preserve"> </w:t>
            </w:r>
            <w:r>
              <w:t>нису</w:t>
            </w:r>
            <w:r w:rsidR="004F5281" w:rsidRPr="004F5281">
              <w:t xml:space="preserve"> </w:t>
            </w:r>
            <w:r>
              <w:t>оправдали</w:t>
            </w:r>
            <w:r w:rsidR="004F5281" w:rsidRPr="004F5281">
              <w:t xml:space="preserve"> </w:t>
            </w:r>
            <w:r>
              <w:t>додијељена</w:t>
            </w:r>
            <w:r w:rsidR="004F5281" w:rsidRPr="004F5281">
              <w:t xml:space="preserve"> </w:t>
            </w:r>
            <w:r>
              <w:t>средства</w:t>
            </w:r>
            <w:r w:rsidR="004F5281" w:rsidRPr="004F5281">
              <w:t xml:space="preserve"> </w:t>
            </w:r>
            <w:r>
              <w:t>ФМОН</w:t>
            </w:r>
            <w:r w:rsidR="004F5281" w:rsidRPr="004F5281">
              <w:t xml:space="preserve"> </w:t>
            </w:r>
            <w:r>
              <w:t>из</w:t>
            </w:r>
            <w:r w:rsidR="004F5281" w:rsidRPr="004F5281">
              <w:t xml:space="preserve"> </w:t>
            </w:r>
            <w:r>
              <w:t>претходних</w:t>
            </w:r>
            <w:r w:rsidR="004F5281" w:rsidRPr="004F5281">
              <w:t xml:space="preserve"> </w:t>
            </w:r>
            <w:r>
              <w:t>година</w:t>
            </w:r>
            <w:r w:rsidR="004F5281" w:rsidRPr="004F5281">
              <w:t xml:space="preserve"> </w:t>
            </w:r>
            <w:r>
              <w:t>неће</w:t>
            </w:r>
            <w:r w:rsidR="004F5281" w:rsidRPr="004F5281">
              <w:t xml:space="preserve"> </w:t>
            </w:r>
            <w:r>
              <w:t>бити</w:t>
            </w:r>
            <w:r w:rsidR="004F5281" w:rsidRPr="004F5281">
              <w:t xml:space="preserve"> </w:t>
            </w:r>
            <w:r>
              <w:t>узете</w:t>
            </w:r>
            <w:r w:rsidR="004F5281" w:rsidRPr="004F5281">
              <w:t xml:space="preserve"> </w:t>
            </w:r>
            <w:r>
              <w:t>у</w:t>
            </w:r>
            <w:r w:rsidR="004F5281" w:rsidRPr="004F5281">
              <w:t xml:space="preserve"> </w:t>
            </w:r>
            <w:r>
              <w:t>разматрање</w:t>
            </w:r>
            <w:r w:rsidR="004F5281" w:rsidRPr="004F5281">
              <w:t>.</w:t>
            </w:r>
          </w:p>
          <w:p w14:paraId="21A5EF38" w14:textId="55768881" w:rsidR="004F5281" w:rsidRDefault="00EC6BBA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>Пријаве</w:t>
            </w:r>
            <w:r w:rsidR="004F5281" w:rsidRPr="004F5281">
              <w:t xml:space="preserve"> </w:t>
            </w:r>
            <w:r>
              <w:t>пројеката</w:t>
            </w:r>
            <w:r w:rsidR="004F5281" w:rsidRPr="004F5281">
              <w:t xml:space="preserve"> </w:t>
            </w:r>
            <w:r>
              <w:t>које</w:t>
            </w:r>
            <w:r w:rsidR="004F5281" w:rsidRPr="004F5281">
              <w:t xml:space="preserve"> </w:t>
            </w:r>
            <w:r>
              <w:t>имају</w:t>
            </w:r>
            <w:r w:rsidR="004F5281" w:rsidRPr="004F5281">
              <w:t xml:space="preserve"> </w:t>
            </w:r>
            <w:r>
              <w:t>члана</w:t>
            </w:r>
            <w:r w:rsidR="004F5281" w:rsidRPr="004F5281">
              <w:t xml:space="preserve"> </w:t>
            </w:r>
            <w:r>
              <w:t>Савјета</w:t>
            </w:r>
            <w:r w:rsidR="004F5281" w:rsidRPr="004F5281">
              <w:t xml:space="preserve"> </w:t>
            </w:r>
            <w:r>
              <w:t>за</w:t>
            </w:r>
            <w:r w:rsidR="004F5281" w:rsidRPr="004F5281">
              <w:t xml:space="preserve"> </w:t>
            </w:r>
            <w:r>
              <w:t>науку</w:t>
            </w:r>
            <w:r w:rsidR="004F5281" w:rsidRPr="004F5281">
              <w:t xml:space="preserve"> </w:t>
            </w:r>
            <w:r>
              <w:t>ФМОН</w:t>
            </w:r>
            <w:r w:rsidR="004F5281" w:rsidRPr="004F5281">
              <w:t xml:space="preserve"> </w:t>
            </w:r>
            <w:r>
              <w:t>као</w:t>
            </w:r>
            <w:r w:rsidR="004F5281" w:rsidRPr="004F5281">
              <w:t xml:space="preserve"> </w:t>
            </w:r>
            <w:r>
              <w:t>једног</w:t>
            </w:r>
            <w:r w:rsidR="004F5281" w:rsidRPr="004F5281">
              <w:t xml:space="preserve"> </w:t>
            </w:r>
            <w:r>
              <w:t>од</w:t>
            </w:r>
            <w:r w:rsidR="004F5281" w:rsidRPr="004F5281">
              <w:t xml:space="preserve"> </w:t>
            </w:r>
            <w:r>
              <w:t>чланова</w:t>
            </w:r>
            <w:r w:rsidR="004F5281" w:rsidRPr="004F5281">
              <w:t xml:space="preserve"> </w:t>
            </w:r>
            <w:r>
              <w:t>тима</w:t>
            </w:r>
            <w:r w:rsidR="004F5281" w:rsidRPr="004F5281">
              <w:t xml:space="preserve"> </w:t>
            </w:r>
            <w:r>
              <w:t>неће</w:t>
            </w:r>
            <w:r w:rsidR="004F5281" w:rsidRPr="004F5281">
              <w:t xml:space="preserve"> </w:t>
            </w:r>
            <w:r>
              <w:t>бити</w:t>
            </w:r>
            <w:r w:rsidR="004F5281" w:rsidRPr="004F5281">
              <w:t xml:space="preserve"> </w:t>
            </w:r>
            <w:r>
              <w:t>узете</w:t>
            </w:r>
            <w:r w:rsidR="004F5281" w:rsidRPr="004F5281">
              <w:t xml:space="preserve"> </w:t>
            </w:r>
            <w:r>
              <w:t>у</w:t>
            </w:r>
            <w:r w:rsidR="004F5281" w:rsidRPr="004F5281">
              <w:t xml:space="preserve"> </w:t>
            </w:r>
            <w:r>
              <w:t>разматрање</w:t>
            </w:r>
            <w:r w:rsidR="004F5281" w:rsidRPr="004F5281">
              <w:t>.</w:t>
            </w:r>
          </w:p>
          <w:p w14:paraId="4CB4094B" w14:textId="3160594A" w:rsidR="004F5281" w:rsidRDefault="00EC6BBA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>Неблаговремене</w:t>
            </w:r>
            <w:r w:rsidR="004F5281" w:rsidRPr="004F5281">
              <w:t xml:space="preserve"> </w:t>
            </w:r>
            <w:r>
              <w:t>пријаве</w:t>
            </w:r>
            <w:r w:rsidR="004F5281" w:rsidRPr="004F5281">
              <w:t xml:space="preserve"> </w:t>
            </w:r>
            <w:r>
              <w:t>неће</w:t>
            </w:r>
            <w:r w:rsidR="004F5281" w:rsidRPr="004F5281">
              <w:t xml:space="preserve"> </w:t>
            </w:r>
            <w:r>
              <w:t>бити</w:t>
            </w:r>
            <w:r w:rsidR="004F5281" w:rsidRPr="004F5281">
              <w:t xml:space="preserve"> </w:t>
            </w:r>
            <w:r>
              <w:t>узете</w:t>
            </w:r>
            <w:r w:rsidR="004F5281" w:rsidRPr="004F5281">
              <w:t xml:space="preserve"> </w:t>
            </w:r>
            <w:r>
              <w:t>у</w:t>
            </w:r>
            <w:r w:rsidR="004F5281" w:rsidRPr="004F5281">
              <w:t xml:space="preserve"> </w:t>
            </w:r>
            <w:r>
              <w:t>разматрање</w:t>
            </w:r>
            <w:r w:rsidR="004F5281" w:rsidRPr="004F5281">
              <w:t>.</w:t>
            </w:r>
          </w:p>
          <w:p w14:paraId="0269D1FC" w14:textId="7B792E03" w:rsidR="004F5281" w:rsidRPr="004F5281" w:rsidRDefault="00EC6BBA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>По</w:t>
            </w:r>
            <w:r w:rsidR="004F5281" w:rsidRPr="004F5281">
              <w:t xml:space="preserve"> </w:t>
            </w:r>
            <w:r>
              <w:t>истицању</w:t>
            </w:r>
            <w:r w:rsidR="004F5281" w:rsidRPr="004F5281">
              <w:t xml:space="preserve"> </w:t>
            </w:r>
            <w:r>
              <w:t>рока</w:t>
            </w:r>
            <w:r w:rsidR="004F5281" w:rsidRPr="004F5281">
              <w:t xml:space="preserve"> </w:t>
            </w:r>
            <w:r>
              <w:t>за</w:t>
            </w:r>
            <w:r w:rsidR="004F5281" w:rsidRPr="004F5281">
              <w:t xml:space="preserve"> </w:t>
            </w:r>
            <w:r>
              <w:t>пријаву</w:t>
            </w:r>
            <w:r w:rsidR="004F5281" w:rsidRPr="004F5281">
              <w:t xml:space="preserve"> </w:t>
            </w:r>
            <w:r>
              <w:t>и</w:t>
            </w:r>
            <w:r w:rsidR="004F5281" w:rsidRPr="004F5281">
              <w:t xml:space="preserve"> </w:t>
            </w:r>
            <w:r>
              <w:t>допуну</w:t>
            </w:r>
            <w:r w:rsidR="004F5281" w:rsidRPr="004F5281">
              <w:t xml:space="preserve">, </w:t>
            </w:r>
            <w:r>
              <w:t>Сектор</w:t>
            </w:r>
            <w:r w:rsidR="004F5281" w:rsidRPr="004F5281">
              <w:t xml:space="preserve"> </w:t>
            </w:r>
            <w:r>
              <w:t>за</w:t>
            </w:r>
            <w:r w:rsidR="004F5281" w:rsidRPr="004F5281">
              <w:t xml:space="preserve"> </w:t>
            </w:r>
            <w:r>
              <w:t>науку</w:t>
            </w:r>
            <w:r w:rsidR="004F5281" w:rsidRPr="004F5281">
              <w:t xml:space="preserve"> </w:t>
            </w:r>
            <w:r>
              <w:t>и</w:t>
            </w:r>
            <w:r w:rsidR="004F5281" w:rsidRPr="004F5281">
              <w:t xml:space="preserve"> </w:t>
            </w:r>
            <w:r>
              <w:t>технологије</w:t>
            </w:r>
            <w:r w:rsidR="004F5281" w:rsidRPr="004F5281">
              <w:t xml:space="preserve"> </w:t>
            </w:r>
            <w:r>
              <w:t>ФМОН</w:t>
            </w:r>
            <w:r w:rsidR="004F5281" w:rsidRPr="004F5281">
              <w:t xml:space="preserve"> </w:t>
            </w:r>
            <w:r>
              <w:t>обавјештава</w:t>
            </w:r>
            <w:r w:rsidR="004F5281" w:rsidRPr="004F5281">
              <w:t xml:space="preserve"> </w:t>
            </w:r>
            <w:r>
              <w:t>Савјет</w:t>
            </w:r>
            <w:r w:rsidR="004F5281" w:rsidRPr="004F5281">
              <w:t xml:space="preserve"> </w:t>
            </w:r>
            <w:r>
              <w:t>за</w:t>
            </w:r>
            <w:r w:rsidR="004F5281" w:rsidRPr="004F5281">
              <w:t xml:space="preserve"> </w:t>
            </w:r>
            <w:r>
              <w:t>науку</w:t>
            </w:r>
            <w:r w:rsidR="004F5281" w:rsidRPr="004F5281">
              <w:t xml:space="preserve"> </w:t>
            </w:r>
            <w:r>
              <w:t>о</w:t>
            </w:r>
            <w:r w:rsidR="004F5281" w:rsidRPr="004F5281">
              <w:t xml:space="preserve"> </w:t>
            </w:r>
            <w:r>
              <w:t>свим</w:t>
            </w:r>
            <w:r w:rsidR="004F5281" w:rsidRPr="004F5281">
              <w:t xml:space="preserve"> </w:t>
            </w:r>
            <w:r>
              <w:t>пристиглим</w:t>
            </w:r>
            <w:r w:rsidR="004F5281" w:rsidRPr="004F5281">
              <w:t xml:space="preserve"> </w:t>
            </w:r>
            <w:r>
              <w:t>пријавама</w:t>
            </w:r>
            <w:r w:rsidR="004F5281" w:rsidRPr="004F5281">
              <w:t>.</w:t>
            </w:r>
          </w:p>
        </w:tc>
      </w:tr>
      <w:tr w:rsidR="008A43F2" w14:paraId="5EC739E9" w14:textId="77777777" w:rsidTr="00B630EA">
        <w:trPr>
          <w:trHeight w:val="4841"/>
        </w:trPr>
        <w:tc>
          <w:tcPr>
            <w:tcW w:w="578" w:type="dxa"/>
            <w:vAlign w:val="center"/>
          </w:tcPr>
          <w:p w14:paraId="6A4D0FEF" w14:textId="523BF7AD" w:rsidR="008A43F2" w:rsidRDefault="00122D47" w:rsidP="00531CAA">
            <w:r>
              <w:lastRenderedPageBreak/>
              <w:t>11</w:t>
            </w:r>
          </w:p>
        </w:tc>
        <w:tc>
          <w:tcPr>
            <w:tcW w:w="3202" w:type="dxa"/>
            <w:vAlign w:val="center"/>
          </w:tcPr>
          <w:p w14:paraId="43D9EF71" w14:textId="06873BE6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поступка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одабира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пројеката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ће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бити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финансирани</w:t>
            </w:r>
          </w:p>
        </w:tc>
        <w:tc>
          <w:tcPr>
            <w:tcW w:w="6390" w:type="dxa"/>
            <w:vAlign w:val="center"/>
          </w:tcPr>
          <w:p w14:paraId="6AD40C8C" w14:textId="2910F507" w:rsidR="008E33AF" w:rsidRDefault="00EC6BBA" w:rsidP="00B630EA">
            <w:pPr>
              <w:pStyle w:val="ListParagraph"/>
              <w:numPr>
                <w:ilvl w:val="0"/>
                <w:numId w:val="6"/>
              </w:numPr>
              <w:ind w:left="342"/>
            </w:pPr>
            <w:r>
              <w:t>Оцјену</w:t>
            </w:r>
            <w:r w:rsidR="004F5281" w:rsidRPr="004F5281">
              <w:t xml:space="preserve"> </w:t>
            </w:r>
            <w:r>
              <w:t>научног</w:t>
            </w:r>
            <w:r w:rsidR="004F5281" w:rsidRPr="004F5281">
              <w:t xml:space="preserve"> </w:t>
            </w:r>
            <w:r>
              <w:t>садржаја</w:t>
            </w:r>
            <w:r w:rsidR="004F5281" w:rsidRPr="004F5281">
              <w:t xml:space="preserve"> </w:t>
            </w:r>
            <w:r>
              <w:t>поднијетих</w:t>
            </w:r>
            <w:r w:rsidR="004F5281" w:rsidRPr="004F5281">
              <w:t xml:space="preserve"> </w:t>
            </w:r>
            <w:r>
              <w:t>пријава</w:t>
            </w:r>
            <w:r w:rsidR="004F5281" w:rsidRPr="004F5281">
              <w:t xml:space="preserve"> </w:t>
            </w:r>
            <w:r>
              <w:t>у</w:t>
            </w:r>
            <w:r w:rsidR="004F5281" w:rsidRPr="004F5281">
              <w:t xml:space="preserve"> </w:t>
            </w:r>
            <w:r>
              <w:t>погледу</w:t>
            </w:r>
            <w:r w:rsidR="004F5281" w:rsidRPr="004F5281">
              <w:t xml:space="preserve"> </w:t>
            </w:r>
            <w:r>
              <w:t>оригиналности</w:t>
            </w:r>
            <w:r w:rsidR="004F5281" w:rsidRPr="004F5281">
              <w:t xml:space="preserve">, </w:t>
            </w:r>
            <w:r>
              <w:t>актуелности</w:t>
            </w:r>
            <w:r w:rsidR="004F5281" w:rsidRPr="004F5281">
              <w:t xml:space="preserve">, </w:t>
            </w:r>
            <w:r>
              <w:t>квалитета</w:t>
            </w:r>
            <w:r w:rsidR="004F5281" w:rsidRPr="004F5281">
              <w:t xml:space="preserve"> </w:t>
            </w:r>
            <w:r>
              <w:t>предложених</w:t>
            </w:r>
            <w:r w:rsidR="004F5281" w:rsidRPr="004F5281">
              <w:t xml:space="preserve"> </w:t>
            </w:r>
            <w:r>
              <w:t>истраживања</w:t>
            </w:r>
            <w:r w:rsidR="004F5281" w:rsidRPr="004F5281">
              <w:t xml:space="preserve">, </w:t>
            </w:r>
            <w:r>
              <w:t>вриједности</w:t>
            </w:r>
            <w:r w:rsidR="004F5281" w:rsidRPr="004F5281">
              <w:t xml:space="preserve"> </w:t>
            </w:r>
            <w:r>
              <w:t>и</w:t>
            </w:r>
            <w:r w:rsidR="004F5281" w:rsidRPr="004F5281">
              <w:t xml:space="preserve"> </w:t>
            </w:r>
            <w:r>
              <w:t>примјењивости</w:t>
            </w:r>
            <w:r w:rsidR="004F5281" w:rsidRPr="004F5281">
              <w:t xml:space="preserve"> </w:t>
            </w:r>
            <w:r>
              <w:t>очекиваних</w:t>
            </w:r>
            <w:r w:rsidR="004F5281" w:rsidRPr="004F5281">
              <w:t xml:space="preserve"> </w:t>
            </w:r>
            <w:r>
              <w:t>резултата</w:t>
            </w:r>
            <w:r w:rsidR="004F5281" w:rsidRPr="004F5281">
              <w:t xml:space="preserve">, </w:t>
            </w:r>
            <w:r>
              <w:t>подобности</w:t>
            </w:r>
            <w:r w:rsidR="004F5281" w:rsidRPr="004F5281">
              <w:t xml:space="preserve"> </w:t>
            </w:r>
            <w:r>
              <w:t>подносиоца</w:t>
            </w:r>
            <w:r w:rsidR="004F5281" w:rsidRPr="004F5281">
              <w:t xml:space="preserve"> </w:t>
            </w:r>
            <w:r>
              <w:t>пријаве</w:t>
            </w:r>
            <w:r w:rsidR="004F5281" w:rsidRPr="004F5281">
              <w:t xml:space="preserve"> </w:t>
            </w:r>
            <w:r>
              <w:t>и</w:t>
            </w:r>
            <w:r w:rsidR="004F5281" w:rsidRPr="004F5281">
              <w:t xml:space="preserve"> </w:t>
            </w:r>
            <w:r>
              <w:t>одговорног</w:t>
            </w:r>
            <w:r w:rsidR="004F5281" w:rsidRPr="004F5281">
              <w:t xml:space="preserve"> </w:t>
            </w:r>
            <w:r>
              <w:t>истраживача</w:t>
            </w:r>
            <w:r w:rsidR="004F5281" w:rsidRPr="004F5281">
              <w:t xml:space="preserve"> (</w:t>
            </w:r>
            <w:r>
              <w:t>водитеља</w:t>
            </w:r>
            <w:r w:rsidR="004F5281" w:rsidRPr="004F5281">
              <w:t xml:space="preserve"> </w:t>
            </w:r>
            <w:r>
              <w:t>пројекта</w:t>
            </w:r>
            <w:r w:rsidR="004F5281" w:rsidRPr="004F5281">
              <w:t xml:space="preserve">), </w:t>
            </w:r>
            <w:r>
              <w:t>рокова</w:t>
            </w:r>
            <w:r w:rsidR="004F5281" w:rsidRPr="004F5281">
              <w:t xml:space="preserve">, </w:t>
            </w:r>
            <w:r>
              <w:t>укупне</w:t>
            </w:r>
            <w:r w:rsidR="004F5281" w:rsidRPr="004F5281">
              <w:t xml:space="preserve"> </w:t>
            </w:r>
            <w:r>
              <w:t>структуре</w:t>
            </w:r>
            <w:r w:rsidR="004F5281" w:rsidRPr="004F5281">
              <w:t xml:space="preserve"> </w:t>
            </w:r>
            <w:r>
              <w:t>пројеката</w:t>
            </w:r>
            <w:r w:rsidR="004F5281" w:rsidRPr="004F5281">
              <w:t xml:space="preserve"> </w:t>
            </w:r>
            <w:r>
              <w:t>извршит</w:t>
            </w:r>
            <w:r w:rsidR="004F5281" w:rsidRPr="004F5281">
              <w:t xml:space="preserve"> </w:t>
            </w:r>
            <w:r>
              <w:t>ће</w:t>
            </w:r>
            <w:r w:rsidR="004F5281" w:rsidRPr="004F5281">
              <w:t xml:space="preserve"> </w:t>
            </w:r>
            <w:r>
              <w:t>Савјет</w:t>
            </w:r>
            <w:r w:rsidR="004F5281" w:rsidRPr="004F5281">
              <w:t xml:space="preserve"> </w:t>
            </w:r>
            <w:r>
              <w:t>за</w:t>
            </w:r>
            <w:r w:rsidR="004F5281" w:rsidRPr="004F5281">
              <w:t xml:space="preserve"> </w:t>
            </w:r>
            <w:r>
              <w:t>науку</w:t>
            </w:r>
            <w:r w:rsidR="004F5281" w:rsidRPr="004F5281">
              <w:t xml:space="preserve"> </w:t>
            </w:r>
            <w:r>
              <w:t>ФМОН</w:t>
            </w:r>
            <w:r w:rsidR="004F5281" w:rsidRPr="004F5281">
              <w:t>.</w:t>
            </w:r>
          </w:p>
          <w:p w14:paraId="248997EC" w14:textId="0DAB6A35" w:rsidR="004F5281" w:rsidRDefault="00EC6BBA" w:rsidP="00B630EA">
            <w:pPr>
              <w:pStyle w:val="ListParagraph"/>
              <w:numPr>
                <w:ilvl w:val="0"/>
                <w:numId w:val="6"/>
              </w:numPr>
              <w:ind w:left="342"/>
            </w:pPr>
            <w:r>
              <w:t>Оцјењивање</w:t>
            </w:r>
            <w:r w:rsidR="004F5281" w:rsidRPr="004F5281">
              <w:t xml:space="preserve"> </w:t>
            </w:r>
            <w:r>
              <w:t>пројеката</w:t>
            </w:r>
            <w:r w:rsidR="004F5281" w:rsidRPr="004F5281">
              <w:t xml:space="preserve"> </w:t>
            </w:r>
            <w:r>
              <w:t>ће</w:t>
            </w:r>
            <w:r w:rsidR="004F5281" w:rsidRPr="004F5281">
              <w:t xml:space="preserve"> </w:t>
            </w:r>
            <w:r>
              <w:t>се</w:t>
            </w:r>
            <w:r w:rsidR="004F5281" w:rsidRPr="004F5281">
              <w:t xml:space="preserve"> </w:t>
            </w:r>
            <w:r>
              <w:t>вршити</w:t>
            </w:r>
            <w:r w:rsidR="004F5281" w:rsidRPr="004F5281">
              <w:t xml:space="preserve"> </w:t>
            </w:r>
            <w:r>
              <w:t>у</w:t>
            </w:r>
            <w:r w:rsidR="004F5281" w:rsidRPr="004F5281">
              <w:t xml:space="preserve"> </w:t>
            </w:r>
            <w:r>
              <w:t>складу</w:t>
            </w:r>
            <w:r w:rsidR="004F5281" w:rsidRPr="004F5281">
              <w:t xml:space="preserve"> </w:t>
            </w:r>
            <w:r>
              <w:t>са</w:t>
            </w:r>
            <w:r w:rsidR="004F5281" w:rsidRPr="004F5281">
              <w:t xml:space="preserve"> </w:t>
            </w:r>
            <w:r>
              <w:t>одредбама</w:t>
            </w:r>
            <w:r w:rsidR="004F5281" w:rsidRPr="004F5281">
              <w:t xml:space="preserve"> </w:t>
            </w:r>
            <w:r>
              <w:t>Смјерница</w:t>
            </w:r>
            <w:r w:rsidR="004F5281" w:rsidRPr="004F5281">
              <w:t xml:space="preserve">, </w:t>
            </w:r>
            <w:r>
              <w:t>које</w:t>
            </w:r>
            <w:r w:rsidR="004F5281" w:rsidRPr="004F5281">
              <w:t xml:space="preserve"> </w:t>
            </w:r>
            <w:r>
              <w:t>су</w:t>
            </w:r>
            <w:r w:rsidR="004F5281" w:rsidRPr="004F5281">
              <w:t xml:space="preserve"> </w:t>
            </w:r>
            <w:r>
              <w:t>објављене</w:t>
            </w:r>
            <w:r w:rsidR="004F5281" w:rsidRPr="004F5281">
              <w:t xml:space="preserve"> </w:t>
            </w:r>
            <w:r>
              <w:t>на</w:t>
            </w:r>
            <w:r w:rsidR="004F5281" w:rsidRPr="004F5281">
              <w:t xml:space="preserve"> </w:t>
            </w:r>
            <w:r>
              <w:t>службеној</w:t>
            </w:r>
            <w:r w:rsidR="004F5281" w:rsidRPr="004F5281">
              <w:t xml:space="preserve"> </w:t>
            </w:r>
            <w:r>
              <w:t>интернет</w:t>
            </w:r>
            <w:r w:rsidR="004F5281" w:rsidRPr="004F5281">
              <w:t xml:space="preserve"> </w:t>
            </w:r>
            <w:r>
              <w:t>страници</w:t>
            </w:r>
            <w:r w:rsidR="004F5281" w:rsidRPr="004F5281">
              <w:t xml:space="preserve"> </w:t>
            </w:r>
            <w:r>
              <w:t>ФМОН</w:t>
            </w:r>
            <w:r w:rsidR="004F5281" w:rsidRPr="004F5281">
              <w:t>.</w:t>
            </w:r>
          </w:p>
          <w:p w14:paraId="307B8D88" w14:textId="626553C2" w:rsidR="004F5281" w:rsidRDefault="00EC6BBA" w:rsidP="00B630EA">
            <w:pPr>
              <w:pStyle w:val="ListParagraph"/>
              <w:numPr>
                <w:ilvl w:val="0"/>
                <w:numId w:val="6"/>
              </w:numPr>
              <w:ind w:left="342"/>
            </w:pPr>
            <w:r>
              <w:t>Након</w:t>
            </w:r>
            <w:r w:rsidR="004F5281" w:rsidRPr="004F5281">
              <w:t xml:space="preserve"> </w:t>
            </w:r>
            <w:r>
              <w:t>извршеног</w:t>
            </w:r>
            <w:r w:rsidR="004F5281" w:rsidRPr="004F5281">
              <w:t xml:space="preserve"> </w:t>
            </w:r>
            <w:r>
              <w:t>оцјењивања</w:t>
            </w:r>
            <w:r w:rsidR="004F5281" w:rsidRPr="004F5281">
              <w:t xml:space="preserve"> </w:t>
            </w:r>
            <w:r>
              <w:t>утврђује</w:t>
            </w:r>
            <w:r w:rsidR="004F5281" w:rsidRPr="004F5281">
              <w:t xml:space="preserve"> </w:t>
            </w:r>
            <w:r>
              <w:t>се</w:t>
            </w:r>
            <w:r w:rsidR="004F5281" w:rsidRPr="004F5281">
              <w:t xml:space="preserve"> </w:t>
            </w:r>
            <w:r>
              <w:t>Прелиминарна</w:t>
            </w:r>
            <w:r w:rsidR="004F5281" w:rsidRPr="004F5281">
              <w:t xml:space="preserve"> </w:t>
            </w:r>
            <w:r>
              <w:t>ранг</w:t>
            </w:r>
            <w:r w:rsidR="004F5281" w:rsidRPr="004F5281">
              <w:t xml:space="preserve"> </w:t>
            </w:r>
            <w:r>
              <w:t>листа</w:t>
            </w:r>
            <w:r w:rsidR="004F5281" w:rsidRPr="004F5281">
              <w:t xml:space="preserve"> </w:t>
            </w:r>
            <w:r>
              <w:t>пројеката</w:t>
            </w:r>
            <w:r w:rsidR="004F5281" w:rsidRPr="004F5281">
              <w:t xml:space="preserve"> </w:t>
            </w:r>
            <w:r>
              <w:t>која</w:t>
            </w:r>
            <w:r w:rsidR="004F5281" w:rsidRPr="004F5281">
              <w:t xml:space="preserve"> </w:t>
            </w:r>
            <w:r>
              <w:t>се</w:t>
            </w:r>
            <w:r w:rsidR="004F5281" w:rsidRPr="004F5281">
              <w:t xml:space="preserve"> </w:t>
            </w:r>
            <w:r>
              <w:t>објављује</w:t>
            </w:r>
            <w:r w:rsidR="004F5281" w:rsidRPr="004F5281">
              <w:t xml:space="preserve"> </w:t>
            </w:r>
            <w:r>
              <w:t>на</w:t>
            </w:r>
            <w:r w:rsidR="004F5281" w:rsidRPr="004F5281">
              <w:t xml:space="preserve"> </w:t>
            </w:r>
            <w:r>
              <w:t>службеној</w:t>
            </w:r>
            <w:r w:rsidR="004F5281" w:rsidRPr="004F5281">
              <w:t xml:space="preserve"> </w:t>
            </w:r>
            <w:r>
              <w:t>интернет</w:t>
            </w:r>
            <w:r w:rsidR="004F5281" w:rsidRPr="004F5281">
              <w:t xml:space="preserve"> </w:t>
            </w:r>
            <w:r>
              <w:t>страници</w:t>
            </w:r>
            <w:r w:rsidR="004F5281" w:rsidRPr="004F5281">
              <w:t xml:space="preserve"> </w:t>
            </w:r>
            <w:r>
              <w:t>ФМОН</w:t>
            </w:r>
          </w:p>
          <w:p w14:paraId="4128BBA7" w14:textId="37AFD6B4" w:rsidR="004F5281" w:rsidRDefault="00EC6BBA" w:rsidP="00B630EA">
            <w:pPr>
              <w:pStyle w:val="ListParagraph"/>
              <w:numPr>
                <w:ilvl w:val="0"/>
                <w:numId w:val="6"/>
              </w:numPr>
              <w:ind w:left="342"/>
            </w:pPr>
            <w:r>
              <w:t>Апликанти</w:t>
            </w:r>
            <w:r w:rsidR="004F5281" w:rsidRPr="004F5281">
              <w:t xml:space="preserve"> </w:t>
            </w:r>
            <w:r>
              <w:t>са</w:t>
            </w:r>
            <w:r w:rsidR="004F5281" w:rsidRPr="004F5281">
              <w:t xml:space="preserve"> </w:t>
            </w:r>
            <w:r>
              <w:t>Прелиминарне</w:t>
            </w:r>
            <w:r w:rsidR="004F5281" w:rsidRPr="004F5281">
              <w:t xml:space="preserve"> </w:t>
            </w:r>
            <w:r>
              <w:t>ранг</w:t>
            </w:r>
            <w:r w:rsidR="004F5281" w:rsidRPr="004F5281">
              <w:t xml:space="preserve"> </w:t>
            </w:r>
            <w:r>
              <w:t>листе</w:t>
            </w:r>
            <w:r w:rsidR="004F5281" w:rsidRPr="004F5281">
              <w:t xml:space="preserve"> </w:t>
            </w:r>
            <w:r>
              <w:t>дужни</w:t>
            </w:r>
            <w:r w:rsidR="004F5281" w:rsidRPr="004F5281">
              <w:t xml:space="preserve"> </w:t>
            </w:r>
            <w:r>
              <w:t>су</w:t>
            </w:r>
            <w:r w:rsidR="004F5281" w:rsidRPr="004F5281">
              <w:t xml:space="preserve"> </w:t>
            </w:r>
            <w:r>
              <w:t>доставити</w:t>
            </w:r>
            <w:r w:rsidR="004F5281" w:rsidRPr="004F5281">
              <w:t xml:space="preserve"> </w:t>
            </w:r>
            <w:r>
              <w:t>доказ</w:t>
            </w:r>
            <w:r w:rsidR="004F5281" w:rsidRPr="004F5281">
              <w:t xml:space="preserve"> </w:t>
            </w:r>
            <w:r>
              <w:t>о</w:t>
            </w:r>
            <w:r w:rsidR="004F5281" w:rsidRPr="004F5281">
              <w:t xml:space="preserve"> </w:t>
            </w:r>
            <w:r>
              <w:t>осигурању</w:t>
            </w:r>
            <w:r w:rsidR="004F5281" w:rsidRPr="004F5281">
              <w:t xml:space="preserve"> </w:t>
            </w:r>
            <w:r>
              <w:t>организационих</w:t>
            </w:r>
            <w:r w:rsidR="004F5281" w:rsidRPr="004F5281">
              <w:t xml:space="preserve"> </w:t>
            </w:r>
            <w:r>
              <w:t>капацитета</w:t>
            </w:r>
            <w:r w:rsidR="004F5281" w:rsidRPr="004F5281">
              <w:t xml:space="preserve"> </w:t>
            </w:r>
            <w:r>
              <w:t>и</w:t>
            </w:r>
            <w:r w:rsidR="004F5281" w:rsidRPr="004F5281">
              <w:t xml:space="preserve"> </w:t>
            </w:r>
            <w:r>
              <w:t>људских</w:t>
            </w:r>
            <w:r w:rsidR="004F5281" w:rsidRPr="004F5281">
              <w:t xml:space="preserve"> </w:t>
            </w:r>
            <w:r>
              <w:t>ресурса</w:t>
            </w:r>
            <w:r w:rsidR="004F5281" w:rsidRPr="004F5281">
              <w:t xml:space="preserve"> </w:t>
            </w:r>
            <w:r>
              <w:t>за</w:t>
            </w:r>
            <w:r w:rsidR="004F5281" w:rsidRPr="004F5281">
              <w:t xml:space="preserve"> </w:t>
            </w:r>
            <w:r>
              <w:t>провођење</w:t>
            </w:r>
            <w:r w:rsidR="004F5281" w:rsidRPr="004F5281">
              <w:t xml:space="preserve"> </w:t>
            </w:r>
            <w:r>
              <w:t>пројеката</w:t>
            </w:r>
            <w:r w:rsidR="004F5281" w:rsidRPr="004F5281">
              <w:t xml:space="preserve"> (</w:t>
            </w:r>
            <w:r>
              <w:t>напримјер</w:t>
            </w:r>
            <w:r w:rsidR="004F5281" w:rsidRPr="004F5281">
              <w:t xml:space="preserve">, </w:t>
            </w:r>
            <w:r>
              <w:t>адекватно</w:t>
            </w:r>
            <w:r w:rsidR="004F5281" w:rsidRPr="004F5281">
              <w:t xml:space="preserve"> </w:t>
            </w:r>
            <w:r>
              <w:t>опремљена</w:t>
            </w:r>
            <w:r w:rsidR="004F5281" w:rsidRPr="004F5281">
              <w:t xml:space="preserve"> </w:t>
            </w:r>
            <w:r>
              <w:t>лабораторија</w:t>
            </w:r>
            <w:r w:rsidR="004F5281" w:rsidRPr="004F5281">
              <w:t xml:space="preserve"> </w:t>
            </w:r>
            <w:r>
              <w:t>за</w:t>
            </w:r>
            <w:r w:rsidR="004F5281" w:rsidRPr="004F5281">
              <w:t xml:space="preserve"> </w:t>
            </w:r>
            <w:r>
              <w:t>провођење</w:t>
            </w:r>
            <w:r w:rsidR="004F5281" w:rsidRPr="004F5281">
              <w:t xml:space="preserve"> </w:t>
            </w:r>
            <w:r>
              <w:t>истраживања</w:t>
            </w:r>
            <w:r w:rsidR="004F5281" w:rsidRPr="004F5281">
              <w:t xml:space="preserve">) </w:t>
            </w:r>
            <w:r>
              <w:t>у</w:t>
            </w:r>
            <w:r w:rsidR="004F5281" w:rsidRPr="004F5281">
              <w:t xml:space="preserve"> </w:t>
            </w:r>
            <w:r>
              <w:t>року</w:t>
            </w:r>
            <w:r w:rsidR="004F5281" w:rsidRPr="004F5281">
              <w:t xml:space="preserve"> </w:t>
            </w:r>
            <w:r>
              <w:t>од</w:t>
            </w:r>
            <w:r w:rsidR="004F5281" w:rsidRPr="004F5281">
              <w:t xml:space="preserve"> </w:t>
            </w:r>
            <w:r>
              <w:t>седам</w:t>
            </w:r>
            <w:r w:rsidR="004F5281" w:rsidRPr="004F5281">
              <w:t xml:space="preserve"> (7) </w:t>
            </w:r>
            <w:r>
              <w:t>радних</w:t>
            </w:r>
            <w:r w:rsidR="004F5281" w:rsidRPr="004F5281">
              <w:t xml:space="preserve"> </w:t>
            </w:r>
            <w:r>
              <w:t>дана</w:t>
            </w:r>
            <w:r w:rsidR="004F5281" w:rsidRPr="004F5281">
              <w:t xml:space="preserve">.  </w:t>
            </w:r>
          </w:p>
          <w:p w14:paraId="1AC3A615" w14:textId="487D6767" w:rsidR="00BA0BF1" w:rsidRPr="008E33AF" w:rsidRDefault="00EC6BBA" w:rsidP="00B630EA">
            <w:pPr>
              <w:pStyle w:val="ListParagraph"/>
              <w:numPr>
                <w:ilvl w:val="0"/>
                <w:numId w:val="6"/>
              </w:numPr>
              <w:ind w:left="342"/>
            </w:pPr>
            <w:r>
              <w:t>Након</w:t>
            </w:r>
            <w:r w:rsidR="00BA0BF1" w:rsidRPr="00BA0BF1">
              <w:t xml:space="preserve"> </w:t>
            </w:r>
            <w:r>
              <w:t>разматрања</w:t>
            </w:r>
            <w:r w:rsidR="00BA0BF1" w:rsidRPr="00BA0BF1">
              <w:t xml:space="preserve"> </w:t>
            </w:r>
            <w:r>
              <w:t>приговора</w:t>
            </w:r>
            <w:r w:rsidR="00BA0BF1" w:rsidRPr="00BA0BF1">
              <w:t xml:space="preserve"> </w:t>
            </w:r>
            <w:r>
              <w:t>утврђује</w:t>
            </w:r>
            <w:r w:rsidR="00BA0BF1" w:rsidRPr="00BA0BF1">
              <w:t xml:space="preserve"> </w:t>
            </w:r>
            <w:r>
              <w:t>се</w:t>
            </w:r>
            <w:r w:rsidR="00BA0BF1" w:rsidRPr="00BA0BF1">
              <w:t xml:space="preserve"> </w:t>
            </w:r>
            <w:r>
              <w:t>Коначна</w:t>
            </w:r>
            <w:r w:rsidR="00BA0BF1" w:rsidRPr="00BA0BF1">
              <w:t xml:space="preserve"> </w:t>
            </w:r>
            <w:r>
              <w:t>ранг</w:t>
            </w:r>
            <w:r w:rsidR="00BA0BF1" w:rsidRPr="00BA0BF1">
              <w:t xml:space="preserve"> </w:t>
            </w:r>
            <w:r>
              <w:t>листа</w:t>
            </w:r>
            <w:r w:rsidR="00BA0BF1" w:rsidRPr="00BA0BF1">
              <w:t xml:space="preserve"> </w:t>
            </w:r>
            <w:r>
              <w:t>пројеката</w:t>
            </w:r>
            <w:r w:rsidR="00BA0BF1" w:rsidRPr="00BA0BF1">
              <w:t xml:space="preserve">, </w:t>
            </w:r>
            <w:r>
              <w:t>која</w:t>
            </w:r>
            <w:r w:rsidR="00BA0BF1" w:rsidRPr="00BA0BF1">
              <w:t xml:space="preserve"> </w:t>
            </w:r>
            <w:r>
              <w:t>се</w:t>
            </w:r>
            <w:r w:rsidR="00BA0BF1" w:rsidRPr="00BA0BF1">
              <w:t xml:space="preserve"> </w:t>
            </w:r>
            <w:r>
              <w:t>објављује</w:t>
            </w:r>
            <w:r w:rsidR="00BA0BF1" w:rsidRPr="00BA0BF1">
              <w:t xml:space="preserve"> </w:t>
            </w:r>
            <w:r>
              <w:t>на</w:t>
            </w:r>
            <w:r w:rsidR="00BA0BF1" w:rsidRPr="00BA0BF1">
              <w:t xml:space="preserve"> </w:t>
            </w:r>
            <w:r>
              <w:t>службеној</w:t>
            </w:r>
            <w:r w:rsidR="00BA0BF1" w:rsidRPr="00BA0BF1">
              <w:t xml:space="preserve"> </w:t>
            </w:r>
            <w:r>
              <w:t>интернет</w:t>
            </w:r>
            <w:r w:rsidR="00BA0BF1" w:rsidRPr="00BA0BF1">
              <w:t xml:space="preserve"> </w:t>
            </w:r>
            <w:r>
              <w:t>страници</w:t>
            </w:r>
            <w:r w:rsidR="00BA0BF1" w:rsidRPr="00BA0BF1">
              <w:t xml:space="preserve"> </w:t>
            </w:r>
            <w:r>
              <w:t>ФМОН</w:t>
            </w:r>
            <w:r w:rsidR="00BA0BF1" w:rsidRPr="00BA0BF1">
              <w:t>.</w:t>
            </w:r>
          </w:p>
        </w:tc>
      </w:tr>
      <w:tr w:rsidR="008A43F2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A43F2" w:rsidRDefault="00122D47" w:rsidP="00531CAA">
            <w:r>
              <w:t>12</w:t>
            </w:r>
          </w:p>
        </w:tc>
        <w:tc>
          <w:tcPr>
            <w:tcW w:w="3202" w:type="dxa"/>
            <w:vAlign w:val="center"/>
          </w:tcPr>
          <w:p w14:paraId="01B1BA07" w14:textId="3F893537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Разлози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рокови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начин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подношења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рјешавања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приговора</w:t>
            </w:r>
          </w:p>
        </w:tc>
        <w:tc>
          <w:tcPr>
            <w:tcW w:w="6390" w:type="dxa"/>
            <w:vAlign w:val="center"/>
          </w:tcPr>
          <w:p w14:paraId="37EA1AB1" w14:textId="576026CA" w:rsidR="009B6EE9" w:rsidRPr="00BA0BF1" w:rsidRDefault="00EC6BBA" w:rsidP="00B630EA">
            <w:pPr>
              <w:pStyle w:val="ListParagraph"/>
              <w:numPr>
                <w:ilvl w:val="0"/>
                <w:numId w:val="13"/>
              </w:numPr>
              <w:ind w:left="342"/>
            </w:pPr>
            <w:r>
              <w:t>Апликанти</w:t>
            </w:r>
            <w:r w:rsidR="004F5281" w:rsidRPr="00BA0BF1">
              <w:t xml:space="preserve"> </w:t>
            </w:r>
            <w:r>
              <w:t>чији</w:t>
            </w:r>
            <w:r w:rsidR="004F5281" w:rsidRPr="00BA0BF1">
              <w:t xml:space="preserve"> </w:t>
            </w:r>
            <w:r>
              <w:t>се</w:t>
            </w:r>
            <w:r w:rsidR="004F5281" w:rsidRPr="00BA0BF1">
              <w:t xml:space="preserve"> </w:t>
            </w:r>
            <w:r>
              <w:t>пројекти</w:t>
            </w:r>
            <w:r w:rsidR="004F5281" w:rsidRPr="00BA0BF1">
              <w:t xml:space="preserve"> </w:t>
            </w:r>
            <w:r>
              <w:t>не</w:t>
            </w:r>
            <w:r w:rsidR="004F5281" w:rsidRPr="00BA0BF1">
              <w:t xml:space="preserve"> </w:t>
            </w:r>
            <w:r>
              <w:t>налазе</w:t>
            </w:r>
            <w:r w:rsidR="004F5281" w:rsidRPr="00BA0BF1">
              <w:t xml:space="preserve"> </w:t>
            </w:r>
            <w:r>
              <w:t>на</w:t>
            </w:r>
            <w:r w:rsidR="004F5281" w:rsidRPr="00BA0BF1">
              <w:t xml:space="preserve"> </w:t>
            </w:r>
            <w:r>
              <w:t>Прелиминарној</w:t>
            </w:r>
            <w:r w:rsidR="004F5281" w:rsidRPr="00BA0BF1">
              <w:t xml:space="preserve"> </w:t>
            </w:r>
            <w:r>
              <w:t>ранг</w:t>
            </w:r>
            <w:r w:rsidR="004F5281" w:rsidRPr="00BA0BF1">
              <w:t xml:space="preserve"> </w:t>
            </w:r>
            <w:r>
              <w:t>листи</w:t>
            </w:r>
            <w:r w:rsidR="004F5281" w:rsidRPr="00BA0BF1">
              <w:t xml:space="preserve"> </w:t>
            </w:r>
            <w:r>
              <w:t>имају</w:t>
            </w:r>
            <w:r w:rsidR="004F5281" w:rsidRPr="00BA0BF1">
              <w:t xml:space="preserve"> </w:t>
            </w:r>
            <w:r>
              <w:t>право</w:t>
            </w:r>
            <w:r w:rsidR="004F5281" w:rsidRPr="00BA0BF1">
              <w:t xml:space="preserve"> </w:t>
            </w:r>
            <w:r>
              <w:t>приговора</w:t>
            </w:r>
            <w:r w:rsidR="004F5281" w:rsidRPr="00BA0BF1">
              <w:t xml:space="preserve"> </w:t>
            </w:r>
            <w:r>
              <w:t>на</w:t>
            </w:r>
            <w:r w:rsidR="004F5281" w:rsidRPr="00BA0BF1">
              <w:t xml:space="preserve"> </w:t>
            </w:r>
            <w:r>
              <w:t>исту</w:t>
            </w:r>
            <w:r w:rsidR="004F5281" w:rsidRPr="00BA0BF1">
              <w:t xml:space="preserve"> </w:t>
            </w:r>
            <w:r>
              <w:t>у</w:t>
            </w:r>
            <w:r w:rsidR="004F5281" w:rsidRPr="00BA0BF1">
              <w:t xml:space="preserve"> </w:t>
            </w:r>
            <w:r>
              <w:t>року</w:t>
            </w:r>
            <w:r w:rsidR="004F5281" w:rsidRPr="00BA0BF1">
              <w:t xml:space="preserve"> </w:t>
            </w:r>
            <w:r>
              <w:t>од</w:t>
            </w:r>
            <w:r w:rsidR="004F5281" w:rsidRPr="00BA0BF1">
              <w:t xml:space="preserve"> </w:t>
            </w:r>
            <w:r>
              <w:t>осам</w:t>
            </w:r>
            <w:r w:rsidR="004F5281" w:rsidRPr="00BA0BF1">
              <w:t xml:space="preserve"> (8) </w:t>
            </w:r>
            <w:r>
              <w:t>дана</w:t>
            </w:r>
            <w:r w:rsidR="004F5281" w:rsidRPr="00BA0BF1">
              <w:t xml:space="preserve"> </w:t>
            </w:r>
            <w:r>
              <w:t>од</w:t>
            </w:r>
            <w:r w:rsidR="004F5281" w:rsidRPr="00BA0BF1">
              <w:t xml:space="preserve"> </w:t>
            </w:r>
            <w:r>
              <w:t>дана</w:t>
            </w:r>
            <w:r w:rsidR="004F5281" w:rsidRPr="00BA0BF1">
              <w:t xml:space="preserve"> </w:t>
            </w:r>
            <w:r>
              <w:t>њеног</w:t>
            </w:r>
            <w:r w:rsidR="004F5281" w:rsidRPr="00BA0BF1">
              <w:t xml:space="preserve"> </w:t>
            </w:r>
            <w:r>
              <w:t>објављивања</w:t>
            </w:r>
            <w:r w:rsidR="004F5281" w:rsidRPr="00BA0BF1">
              <w:t>.</w:t>
            </w:r>
          </w:p>
          <w:p w14:paraId="1A3A425D" w14:textId="4CA84722" w:rsidR="004F5281" w:rsidRPr="00BA0BF1" w:rsidRDefault="00EC6BBA" w:rsidP="00B630EA">
            <w:pPr>
              <w:pStyle w:val="ListParagraph"/>
              <w:numPr>
                <w:ilvl w:val="0"/>
                <w:numId w:val="13"/>
              </w:numPr>
              <w:ind w:left="342"/>
            </w:pPr>
            <w:r>
              <w:t>По</w:t>
            </w:r>
            <w:r w:rsidR="004F5281" w:rsidRPr="00BA0BF1">
              <w:t xml:space="preserve"> </w:t>
            </w:r>
            <w:r>
              <w:t>приговорима</w:t>
            </w:r>
            <w:r w:rsidR="004F5281" w:rsidRPr="00BA0BF1">
              <w:t xml:space="preserve"> </w:t>
            </w:r>
            <w:r>
              <w:t>рјешава</w:t>
            </w:r>
            <w:r w:rsidR="004F5281" w:rsidRPr="00BA0BF1">
              <w:t xml:space="preserve"> </w:t>
            </w:r>
            <w:r>
              <w:t>посебно</w:t>
            </w:r>
            <w:r w:rsidR="004F5281" w:rsidRPr="00BA0BF1">
              <w:t xml:space="preserve"> </w:t>
            </w:r>
            <w:r>
              <w:t>формирана</w:t>
            </w:r>
            <w:r w:rsidR="004F5281" w:rsidRPr="00BA0BF1">
              <w:t xml:space="preserve"> </w:t>
            </w:r>
            <w:r>
              <w:t>Комисија</w:t>
            </w:r>
            <w:r w:rsidR="004F5281" w:rsidRPr="00BA0BF1">
              <w:t xml:space="preserve"> </w:t>
            </w:r>
            <w:r>
              <w:t>за</w:t>
            </w:r>
            <w:r w:rsidR="004F5281" w:rsidRPr="00BA0BF1">
              <w:t xml:space="preserve"> </w:t>
            </w:r>
            <w:r>
              <w:t>приговоре</w:t>
            </w:r>
            <w:r w:rsidR="004F5281" w:rsidRPr="00BA0BF1">
              <w:t xml:space="preserve"> </w:t>
            </w:r>
            <w:r>
              <w:t>у</w:t>
            </w:r>
            <w:r w:rsidR="004F5281" w:rsidRPr="00BA0BF1">
              <w:t xml:space="preserve"> </w:t>
            </w:r>
            <w:r>
              <w:t>року</w:t>
            </w:r>
            <w:r w:rsidR="004F5281" w:rsidRPr="00BA0BF1">
              <w:t xml:space="preserve"> </w:t>
            </w:r>
            <w:r>
              <w:t>од</w:t>
            </w:r>
            <w:r w:rsidR="004F5281" w:rsidRPr="00BA0BF1">
              <w:t xml:space="preserve"> 15 </w:t>
            </w:r>
            <w:r>
              <w:t>дана</w:t>
            </w:r>
            <w:r w:rsidR="004F5281" w:rsidRPr="00BA0BF1">
              <w:t xml:space="preserve"> </w:t>
            </w:r>
            <w:r>
              <w:t>од</w:t>
            </w:r>
            <w:r w:rsidR="004F5281" w:rsidRPr="00BA0BF1">
              <w:t xml:space="preserve"> </w:t>
            </w:r>
            <w:r>
              <w:t>дана</w:t>
            </w:r>
            <w:r w:rsidR="004F5281" w:rsidRPr="00BA0BF1">
              <w:t xml:space="preserve"> </w:t>
            </w:r>
            <w:r>
              <w:t>запримања</w:t>
            </w:r>
            <w:r w:rsidR="004F5281" w:rsidRPr="00BA0BF1">
              <w:t xml:space="preserve"> </w:t>
            </w:r>
            <w:r>
              <w:t>приговора</w:t>
            </w:r>
            <w:r w:rsidR="004F5281" w:rsidRPr="00BA0BF1">
              <w:t xml:space="preserve"> </w:t>
            </w:r>
            <w:r>
              <w:t>од</w:t>
            </w:r>
            <w:r w:rsidR="004F5281" w:rsidRPr="00BA0BF1">
              <w:t xml:space="preserve"> </w:t>
            </w:r>
            <w:r>
              <w:t>стране</w:t>
            </w:r>
            <w:r w:rsidR="004F5281" w:rsidRPr="00BA0BF1">
              <w:t xml:space="preserve"> </w:t>
            </w:r>
            <w:r>
              <w:t>Комисије</w:t>
            </w:r>
            <w:r w:rsidR="004F5281" w:rsidRPr="00BA0BF1">
              <w:t xml:space="preserve">.  </w:t>
            </w:r>
          </w:p>
        </w:tc>
      </w:tr>
      <w:tr w:rsidR="008A43F2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A43F2" w:rsidRDefault="00122D47" w:rsidP="00531CAA">
            <w:r>
              <w:t>13</w:t>
            </w:r>
          </w:p>
        </w:tc>
        <w:tc>
          <w:tcPr>
            <w:tcW w:w="3202" w:type="dxa"/>
            <w:vAlign w:val="center"/>
          </w:tcPr>
          <w:p w14:paraId="11327019" w14:textId="729E9D39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поступка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уговарања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одабраних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пројеката</w:t>
            </w:r>
          </w:p>
        </w:tc>
        <w:tc>
          <w:tcPr>
            <w:tcW w:w="6390" w:type="dxa"/>
            <w:vAlign w:val="center"/>
          </w:tcPr>
          <w:p w14:paraId="57031E70" w14:textId="1006B802" w:rsidR="008A43F2" w:rsidRPr="008D6338" w:rsidRDefault="00EC6BBA" w:rsidP="008E33AF">
            <w:pPr>
              <w:rPr>
                <w:color w:val="FF0000"/>
              </w:rPr>
            </w:pPr>
            <w:r>
              <w:t>Федерална</w:t>
            </w:r>
            <w:r w:rsidR="006126FC" w:rsidRPr="005971C4">
              <w:t xml:space="preserve"> </w:t>
            </w:r>
            <w:r>
              <w:t>министрица</w:t>
            </w:r>
            <w:r w:rsidR="001534F8" w:rsidRPr="005971C4">
              <w:t xml:space="preserve"> </w:t>
            </w:r>
            <w:r>
              <w:t>образовања</w:t>
            </w:r>
            <w:r w:rsidR="001534F8" w:rsidRPr="005971C4">
              <w:t xml:space="preserve"> </w:t>
            </w:r>
            <w:r>
              <w:t>и</w:t>
            </w:r>
            <w:r w:rsidR="001534F8" w:rsidRPr="005971C4">
              <w:t xml:space="preserve"> </w:t>
            </w:r>
            <w:r>
              <w:t>науке</w:t>
            </w:r>
            <w:r w:rsidR="001534F8" w:rsidRPr="005971C4">
              <w:t xml:space="preserve"> </w:t>
            </w:r>
            <w:r>
              <w:t>доноси</w:t>
            </w:r>
            <w:r w:rsidR="008E33AF" w:rsidRPr="008E33AF">
              <w:t xml:space="preserve"> </w:t>
            </w:r>
            <w:r>
              <w:t>збирну</w:t>
            </w:r>
            <w:r w:rsidR="008E33AF" w:rsidRPr="008E33AF">
              <w:t xml:space="preserve"> </w:t>
            </w:r>
            <w:r>
              <w:t>одлуку</w:t>
            </w:r>
            <w:r w:rsidR="008E33AF" w:rsidRPr="008E33AF">
              <w:t xml:space="preserve"> </w:t>
            </w:r>
            <w:r>
              <w:t>о</w:t>
            </w:r>
            <w:r w:rsidR="008E33AF" w:rsidRPr="008E33AF">
              <w:t xml:space="preserve"> </w:t>
            </w:r>
            <w:r>
              <w:t>додјели</w:t>
            </w:r>
            <w:r w:rsidR="008E33AF" w:rsidRPr="008E33AF">
              <w:t xml:space="preserve"> </w:t>
            </w:r>
            <w:r>
              <w:t>буџетских</w:t>
            </w:r>
            <w:r w:rsidR="008E33AF" w:rsidRPr="008E33AF">
              <w:t xml:space="preserve"> </w:t>
            </w:r>
            <w:r>
              <w:t>средстава</w:t>
            </w:r>
            <w:r w:rsidR="008E33AF" w:rsidRPr="008E33AF">
              <w:t xml:space="preserve"> </w:t>
            </w:r>
            <w:r>
              <w:t>и</w:t>
            </w:r>
            <w:r w:rsidR="008E33AF">
              <w:t xml:space="preserve"> </w:t>
            </w:r>
            <w:r>
              <w:t>потписује</w:t>
            </w:r>
            <w:r w:rsidR="001534F8" w:rsidRPr="005971C4">
              <w:t xml:space="preserve"> </w:t>
            </w:r>
            <w:r>
              <w:t>посебне</w:t>
            </w:r>
            <w:r w:rsidR="001534F8" w:rsidRPr="005971C4">
              <w:t xml:space="preserve"> </w:t>
            </w:r>
            <w:r>
              <w:t>уговоре</w:t>
            </w:r>
            <w:r w:rsidR="001534F8" w:rsidRPr="005971C4">
              <w:t xml:space="preserve"> </w:t>
            </w:r>
            <w:r>
              <w:t>о</w:t>
            </w:r>
            <w:r w:rsidR="001534F8" w:rsidRPr="005971C4">
              <w:t xml:space="preserve"> </w:t>
            </w:r>
            <w:r>
              <w:t>реализацији</w:t>
            </w:r>
            <w:r w:rsidR="001534F8" w:rsidRPr="005971C4">
              <w:t xml:space="preserve"> </w:t>
            </w:r>
            <w:r>
              <w:t>додијељених</w:t>
            </w:r>
            <w:r w:rsidR="008E33AF">
              <w:t xml:space="preserve"> </w:t>
            </w:r>
            <w:r>
              <w:t>средстава</w:t>
            </w:r>
            <w:r w:rsidR="008E33AF">
              <w:t xml:space="preserve">, </w:t>
            </w:r>
            <w:r>
              <w:t>којим</w:t>
            </w:r>
            <w:r w:rsidR="008E33AF">
              <w:t xml:space="preserve"> </w:t>
            </w:r>
            <w:r>
              <w:t>се</w:t>
            </w:r>
            <w:r w:rsidR="008E33AF">
              <w:t xml:space="preserve"> </w:t>
            </w:r>
            <w:r>
              <w:t>регулишу</w:t>
            </w:r>
            <w:r w:rsidR="001534F8" w:rsidRPr="005971C4">
              <w:t xml:space="preserve"> </w:t>
            </w:r>
            <w:r>
              <w:t>начини</w:t>
            </w:r>
            <w:r w:rsidR="001534F8" w:rsidRPr="005971C4">
              <w:t xml:space="preserve"> </w:t>
            </w:r>
            <w:r>
              <w:t>и</w:t>
            </w:r>
            <w:r w:rsidR="001534F8" w:rsidRPr="005971C4">
              <w:t xml:space="preserve"> </w:t>
            </w:r>
            <w:r>
              <w:t>рокови</w:t>
            </w:r>
            <w:r w:rsidR="001534F8" w:rsidRPr="005971C4">
              <w:t xml:space="preserve"> </w:t>
            </w:r>
            <w:r>
              <w:t>утрошка</w:t>
            </w:r>
            <w:r w:rsidR="001534F8" w:rsidRPr="005971C4">
              <w:t xml:space="preserve"> </w:t>
            </w:r>
            <w:r>
              <w:t>средстава</w:t>
            </w:r>
            <w:r w:rsidR="001534F8" w:rsidRPr="005971C4">
              <w:t xml:space="preserve"> </w:t>
            </w:r>
            <w:r>
              <w:t>и</w:t>
            </w:r>
            <w:r w:rsidR="001534F8" w:rsidRPr="005971C4">
              <w:t xml:space="preserve"> </w:t>
            </w:r>
            <w:r>
              <w:t>извјештавање</w:t>
            </w:r>
            <w:r w:rsidR="001534F8" w:rsidRPr="005971C4">
              <w:t>.</w:t>
            </w:r>
          </w:p>
        </w:tc>
      </w:tr>
      <w:tr w:rsidR="008A43F2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8A43F2" w:rsidRDefault="00122D47" w:rsidP="00531CAA">
            <w:r>
              <w:t>14</w:t>
            </w:r>
          </w:p>
        </w:tc>
        <w:tc>
          <w:tcPr>
            <w:tcW w:w="3202" w:type="dxa"/>
            <w:vAlign w:val="center"/>
          </w:tcPr>
          <w:p w14:paraId="019CC927" w14:textId="201D5CE1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поступка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праћења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провођења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пројеката</w:t>
            </w:r>
          </w:p>
        </w:tc>
        <w:tc>
          <w:tcPr>
            <w:tcW w:w="6390" w:type="dxa"/>
            <w:vAlign w:val="center"/>
          </w:tcPr>
          <w:p w14:paraId="76DD9789" w14:textId="3A0881AF" w:rsidR="008A43F2" w:rsidRPr="008D6338" w:rsidRDefault="00EC6BBA" w:rsidP="0025663B">
            <w:pPr>
              <w:rPr>
                <w:color w:val="FF0000"/>
              </w:rPr>
            </w:pPr>
            <w:r>
              <w:t>У</w:t>
            </w:r>
            <w:r w:rsidR="00827553" w:rsidRPr="009A16CD">
              <w:t xml:space="preserve"> </w:t>
            </w:r>
            <w:r>
              <w:t>складу</w:t>
            </w:r>
            <w:r w:rsidR="00827553" w:rsidRPr="009A16CD">
              <w:t xml:space="preserve"> </w:t>
            </w:r>
            <w:r>
              <w:t>са</w:t>
            </w:r>
            <w:r w:rsidR="00827553" w:rsidRPr="009A16CD">
              <w:t xml:space="preserve"> </w:t>
            </w:r>
            <w:r>
              <w:t>уговором</w:t>
            </w:r>
            <w:r w:rsidR="00827553" w:rsidRPr="009A16CD">
              <w:t xml:space="preserve"> </w:t>
            </w:r>
            <w:r>
              <w:t>о</w:t>
            </w:r>
            <w:r w:rsidR="00827553" w:rsidRPr="009A16CD">
              <w:t xml:space="preserve"> </w:t>
            </w:r>
            <w:r>
              <w:t>реализацији</w:t>
            </w:r>
            <w:r w:rsidR="00827553" w:rsidRPr="009A16CD">
              <w:t xml:space="preserve"> </w:t>
            </w:r>
            <w:r>
              <w:t>пројекта</w:t>
            </w:r>
            <w:r w:rsidR="00827553" w:rsidRPr="009A16CD">
              <w:t xml:space="preserve">, </w:t>
            </w:r>
            <w:r>
              <w:t>корисник</w:t>
            </w:r>
            <w:r w:rsidR="00827553" w:rsidRPr="009A16CD">
              <w:t xml:space="preserve"> </w:t>
            </w:r>
            <w:r>
              <w:t>је</w:t>
            </w:r>
            <w:r w:rsidR="00827553" w:rsidRPr="009A16CD">
              <w:t xml:space="preserve"> </w:t>
            </w:r>
            <w:r>
              <w:t>обавезан</w:t>
            </w:r>
            <w:r w:rsidR="00827553" w:rsidRPr="009A16CD">
              <w:t xml:space="preserve"> </w:t>
            </w:r>
            <w:r>
              <w:t>доставити</w:t>
            </w:r>
            <w:r w:rsidR="00827553" w:rsidRPr="009A16CD">
              <w:t xml:space="preserve"> </w:t>
            </w:r>
            <w:r>
              <w:t>извјештај</w:t>
            </w:r>
            <w:r w:rsidR="00827553" w:rsidRPr="009A16CD">
              <w:t xml:space="preserve"> </w:t>
            </w:r>
            <w:r>
              <w:t>са</w:t>
            </w:r>
            <w:r w:rsidR="00F4163F" w:rsidRPr="009A16CD">
              <w:t xml:space="preserve"> </w:t>
            </w:r>
            <w:r>
              <w:t>доказима</w:t>
            </w:r>
            <w:r w:rsidR="00F4163F" w:rsidRPr="009A16CD">
              <w:t xml:space="preserve"> </w:t>
            </w:r>
            <w:r>
              <w:t>о</w:t>
            </w:r>
            <w:r w:rsidR="00827553" w:rsidRPr="009A16CD">
              <w:t xml:space="preserve"> </w:t>
            </w:r>
            <w:r>
              <w:t>намјенском</w:t>
            </w:r>
            <w:r w:rsidR="00827553" w:rsidRPr="009A16CD">
              <w:t xml:space="preserve"> </w:t>
            </w:r>
            <w:r>
              <w:t>утрошку</w:t>
            </w:r>
            <w:r w:rsidR="00827553" w:rsidRPr="009A16CD">
              <w:t xml:space="preserve"> </w:t>
            </w:r>
            <w:r>
              <w:t>средстава</w:t>
            </w:r>
            <w:r w:rsidR="00F4163F" w:rsidRPr="009A16CD">
              <w:t xml:space="preserve">. </w:t>
            </w:r>
            <w:r>
              <w:t>Уколико</w:t>
            </w:r>
            <w:r w:rsidR="00F4163F" w:rsidRPr="009A16CD">
              <w:t xml:space="preserve"> </w:t>
            </w:r>
            <w:r>
              <w:t>Корисник</w:t>
            </w:r>
            <w:r w:rsidR="00F4163F" w:rsidRPr="009A16CD">
              <w:t xml:space="preserve"> </w:t>
            </w:r>
            <w:r>
              <w:t>средстава</w:t>
            </w:r>
            <w:r w:rsidR="00F4163F" w:rsidRPr="009A16CD">
              <w:t xml:space="preserve"> </w:t>
            </w:r>
            <w:r>
              <w:t>не</w:t>
            </w:r>
            <w:r w:rsidR="00F4163F" w:rsidRPr="009A16CD">
              <w:t xml:space="preserve"> </w:t>
            </w:r>
            <w:r>
              <w:t>достави</w:t>
            </w:r>
            <w:r w:rsidR="00F4163F" w:rsidRPr="009A16CD">
              <w:t xml:space="preserve"> </w:t>
            </w:r>
            <w:r>
              <w:t>извјештај</w:t>
            </w:r>
            <w:r w:rsidR="00F4163F" w:rsidRPr="009A16CD">
              <w:t xml:space="preserve"> </w:t>
            </w:r>
            <w:r>
              <w:t>о</w:t>
            </w:r>
            <w:r w:rsidR="00F4163F" w:rsidRPr="009A16CD">
              <w:t xml:space="preserve"> </w:t>
            </w:r>
            <w:r>
              <w:t>намјенском</w:t>
            </w:r>
            <w:r w:rsidR="00F4163F" w:rsidRPr="009A16CD">
              <w:t xml:space="preserve"> </w:t>
            </w:r>
            <w:r>
              <w:t>утрошку</w:t>
            </w:r>
            <w:r w:rsidR="00F4163F" w:rsidRPr="009A16CD">
              <w:t xml:space="preserve"> </w:t>
            </w:r>
            <w:r>
              <w:t>додијељених</w:t>
            </w:r>
            <w:r w:rsidR="00F4163F" w:rsidRPr="009A16CD">
              <w:t xml:space="preserve"> </w:t>
            </w:r>
            <w:r>
              <w:t>средстава</w:t>
            </w:r>
            <w:r w:rsidR="00F4163F" w:rsidRPr="009A16CD">
              <w:t xml:space="preserve"> </w:t>
            </w:r>
            <w:r>
              <w:t>у</w:t>
            </w:r>
            <w:r w:rsidR="008000F4" w:rsidRPr="009A16CD">
              <w:t xml:space="preserve"> </w:t>
            </w:r>
            <w:r>
              <w:t>предвиђеном</w:t>
            </w:r>
            <w:r w:rsidR="008000F4" w:rsidRPr="009A16CD">
              <w:t xml:space="preserve"> </w:t>
            </w:r>
            <w:r>
              <w:t>року</w:t>
            </w:r>
            <w:r w:rsidR="008000F4" w:rsidRPr="009A16CD">
              <w:t xml:space="preserve"> </w:t>
            </w:r>
            <w:r>
              <w:t>Министарство</w:t>
            </w:r>
            <w:r w:rsidR="008000F4" w:rsidRPr="009A16CD">
              <w:t xml:space="preserve"> </w:t>
            </w:r>
            <w:r>
              <w:t>шаље</w:t>
            </w:r>
            <w:r w:rsidR="008000F4" w:rsidRPr="009A16CD">
              <w:t xml:space="preserve"> </w:t>
            </w:r>
            <w:r>
              <w:t>Опомену</w:t>
            </w:r>
            <w:r w:rsidR="008000F4" w:rsidRPr="009A16CD">
              <w:t xml:space="preserve"> </w:t>
            </w:r>
            <w:r>
              <w:t>са</w:t>
            </w:r>
            <w:r w:rsidR="008000F4" w:rsidRPr="009A16CD">
              <w:t xml:space="preserve"> </w:t>
            </w:r>
            <w:r>
              <w:t>инструкцијом</w:t>
            </w:r>
            <w:r w:rsidR="008000F4" w:rsidRPr="009A16CD">
              <w:t xml:space="preserve"> </w:t>
            </w:r>
            <w:r>
              <w:t>о</w:t>
            </w:r>
            <w:r w:rsidR="008000F4" w:rsidRPr="009A16CD">
              <w:t xml:space="preserve"> </w:t>
            </w:r>
            <w:r>
              <w:t>поврату</w:t>
            </w:r>
            <w:r w:rsidR="008000F4" w:rsidRPr="009A16CD">
              <w:t xml:space="preserve"> </w:t>
            </w:r>
            <w:r>
              <w:t>средстава</w:t>
            </w:r>
            <w:r w:rsidR="008000F4" w:rsidRPr="009A16CD">
              <w:t xml:space="preserve">. </w:t>
            </w:r>
          </w:p>
        </w:tc>
      </w:tr>
      <w:tr w:rsidR="008A43F2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A43F2" w:rsidRDefault="00122D47" w:rsidP="00531CAA">
            <w:r>
              <w:t>15</w:t>
            </w:r>
          </w:p>
        </w:tc>
        <w:tc>
          <w:tcPr>
            <w:tcW w:w="3202" w:type="dxa"/>
            <w:vAlign w:val="center"/>
          </w:tcPr>
          <w:p w14:paraId="67B2E184" w14:textId="62409CD3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Оквирни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календар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провођења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свих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поступака</w:t>
            </w:r>
          </w:p>
        </w:tc>
        <w:tc>
          <w:tcPr>
            <w:tcW w:w="6390" w:type="dxa"/>
            <w:vAlign w:val="center"/>
          </w:tcPr>
          <w:p w14:paraId="54826B61" w14:textId="391A285F" w:rsidR="008A43F2" w:rsidRDefault="00EC6BBA" w:rsidP="008D6338">
            <w:r>
              <w:t>јуни</w:t>
            </w:r>
            <w:r w:rsidR="005971C4" w:rsidRPr="005971C4">
              <w:t>-</w:t>
            </w:r>
            <w:r>
              <w:t>новембар</w:t>
            </w:r>
            <w:r w:rsidR="005971C4" w:rsidRPr="005971C4">
              <w:t xml:space="preserve"> </w:t>
            </w:r>
            <w:r w:rsidR="00A22490" w:rsidRPr="005971C4">
              <w:t>202</w:t>
            </w:r>
            <w:r w:rsidR="008D6338" w:rsidRPr="005971C4">
              <w:t>5</w:t>
            </w:r>
            <w:r w:rsidR="00A22490" w:rsidRPr="005971C4">
              <w:t xml:space="preserve">. </w:t>
            </w:r>
            <w:r>
              <w:t>године</w:t>
            </w:r>
          </w:p>
        </w:tc>
      </w:tr>
      <w:tr w:rsidR="008A43F2" w14:paraId="22A85405" w14:textId="77777777" w:rsidTr="00AC4E85">
        <w:trPr>
          <w:trHeight w:val="1559"/>
        </w:trPr>
        <w:tc>
          <w:tcPr>
            <w:tcW w:w="578" w:type="dxa"/>
            <w:vAlign w:val="center"/>
          </w:tcPr>
          <w:p w14:paraId="7ED756E3" w14:textId="77315E61" w:rsidR="008A43F2" w:rsidRDefault="00122D47" w:rsidP="00531CAA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5B80EA63" w:rsidR="008A43F2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Датум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објаве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јавног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позива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рок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подношење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пријава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адреса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начин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доставе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  <w:r w:rsidR="008A43F2" w:rsidRPr="00102F1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те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рокови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начин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комуникације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Министарством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током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трајања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јавног</w:t>
            </w:r>
            <w:r w:rsidR="008A43F2" w:rsidRPr="00102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позива</w:t>
            </w:r>
          </w:p>
        </w:tc>
        <w:tc>
          <w:tcPr>
            <w:tcW w:w="6390" w:type="dxa"/>
            <w:vAlign w:val="center"/>
          </w:tcPr>
          <w:p w14:paraId="7260ADCB" w14:textId="1AE56311" w:rsidR="008A43F2" w:rsidRPr="005971C4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Датум</w:t>
            </w:r>
            <w:r w:rsidR="003D5024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објаве</w:t>
            </w:r>
            <w:r w:rsidR="003D5024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Јавног</w:t>
            </w:r>
            <w:r w:rsidR="003D5024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позива</w:t>
            </w:r>
            <w:r w:rsidR="003D5024" w:rsidRPr="005971C4">
              <w:rPr>
                <w:b/>
                <w:bCs/>
              </w:rPr>
              <w:t xml:space="preserve">: </w:t>
            </w:r>
            <w:r w:rsidR="00BA0BF1">
              <w:rPr>
                <w:b/>
                <w:bCs/>
              </w:rPr>
              <w:t>02.06</w:t>
            </w:r>
            <w:r w:rsidR="008D6338" w:rsidRPr="005971C4">
              <w:rPr>
                <w:b/>
                <w:bCs/>
              </w:rPr>
              <w:t>.2025</w:t>
            </w:r>
            <w:r w:rsidR="003D5024" w:rsidRPr="005971C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године</w:t>
            </w:r>
          </w:p>
          <w:p w14:paraId="45819F89" w14:textId="77777777" w:rsidR="003D5024" w:rsidRPr="005971C4" w:rsidRDefault="003D5024" w:rsidP="00531CAA">
            <w:pPr>
              <w:rPr>
                <w:b/>
                <w:bCs/>
              </w:rPr>
            </w:pPr>
          </w:p>
          <w:p w14:paraId="6246BF86" w14:textId="2C0873AE" w:rsidR="003D5024" w:rsidRPr="005971C4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Рок</w:t>
            </w:r>
            <w:r w:rsidR="003D5024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3D5024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подношење</w:t>
            </w:r>
            <w:r w:rsidR="003D5024" w:rsidRPr="005971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пријава</w:t>
            </w:r>
            <w:r w:rsidR="003D5024" w:rsidRPr="005971C4">
              <w:rPr>
                <w:b/>
                <w:bCs/>
              </w:rPr>
              <w:t xml:space="preserve">: </w:t>
            </w:r>
            <w:r w:rsidR="00BA0BF1">
              <w:rPr>
                <w:rFonts w:cstheme="minorHAnsi"/>
                <w:b/>
              </w:rPr>
              <w:t>02.07.</w:t>
            </w:r>
            <w:r w:rsidR="008D6338" w:rsidRPr="005971C4">
              <w:rPr>
                <w:rFonts w:cstheme="minorHAnsi"/>
                <w:b/>
              </w:rPr>
              <w:t>2025</w:t>
            </w:r>
            <w:r w:rsidR="00E66AFB" w:rsidRPr="005971C4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године</w:t>
            </w:r>
          </w:p>
          <w:p w14:paraId="4E46C3B3" w14:textId="77777777" w:rsidR="003D5024" w:rsidRDefault="003D5024" w:rsidP="003D5024"/>
          <w:p w14:paraId="527AAC44" w14:textId="10FD9E98" w:rsidR="008D6338" w:rsidRPr="000843B5" w:rsidRDefault="00EC6BBA" w:rsidP="008D6338">
            <w:pPr>
              <w:rPr>
                <w:b/>
                <w:bCs/>
              </w:rPr>
            </w:pPr>
            <w:r>
              <w:rPr>
                <w:b/>
                <w:bCs/>
              </w:rPr>
              <w:t>Начин</w:t>
            </w:r>
            <w:r w:rsidR="008D6338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доставе</w:t>
            </w:r>
            <w:r w:rsidR="008D6338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пријаве</w:t>
            </w:r>
            <w:r w:rsidR="008D6338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  <w:r w:rsidR="008D6338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или</w:t>
            </w:r>
            <w:r w:rsidR="008D6338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  <w:r w:rsidR="008D6338" w:rsidRPr="000843B5">
              <w:rPr>
                <w:b/>
                <w:bCs/>
              </w:rPr>
              <w:t>:</w:t>
            </w:r>
          </w:p>
          <w:p w14:paraId="5928EECB" w14:textId="6F2A1F50" w:rsidR="00BA0BF1" w:rsidRDefault="00EC6BBA" w:rsidP="008D6338">
            <w:r>
              <w:t>Пријаве</w:t>
            </w:r>
            <w:r w:rsidR="00BA0BF1" w:rsidRPr="00BA0BF1">
              <w:t xml:space="preserve"> </w:t>
            </w:r>
            <w:r>
              <w:t>на</w:t>
            </w:r>
            <w:r w:rsidR="00BA0BF1" w:rsidRPr="00BA0BF1">
              <w:t xml:space="preserve"> </w:t>
            </w:r>
            <w:r>
              <w:t>Јавни</w:t>
            </w:r>
            <w:r w:rsidR="00BA0BF1" w:rsidRPr="00BA0BF1">
              <w:t xml:space="preserve"> </w:t>
            </w:r>
            <w:r>
              <w:t>позив</w:t>
            </w:r>
            <w:r w:rsidR="00BA0BF1" w:rsidRPr="00BA0BF1">
              <w:t xml:space="preserve"> </w:t>
            </w:r>
            <w:r>
              <w:t>подносе</w:t>
            </w:r>
            <w:r w:rsidR="00BA0BF1" w:rsidRPr="00BA0BF1">
              <w:t xml:space="preserve"> </w:t>
            </w:r>
            <w:r>
              <w:t>се</w:t>
            </w:r>
            <w:r w:rsidR="00BA0BF1" w:rsidRPr="00BA0BF1">
              <w:t xml:space="preserve"> </w:t>
            </w:r>
            <w:r>
              <w:t>на</w:t>
            </w:r>
            <w:r w:rsidR="00BA0BF1" w:rsidRPr="00BA0BF1">
              <w:t xml:space="preserve"> </w:t>
            </w:r>
            <w:r>
              <w:t>обрасцима</w:t>
            </w:r>
            <w:r w:rsidR="00BA0BF1" w:rsidRPr="00BA0BF1">
              <w:t xml:space="preserve"> </w:t>
            </w:r>
            <w:r>
              <w:t>П</w:t>
            </w:r>
            <w:r w:rsidR="00BA0BF1" w:rsidRPr="00BA0BF1">
              <w:t xml:space="preserve">1, </w:t>
            </w:r>
            <w:r>
              <w:t>П</w:t>
            </w:r>
            <w:r w:rsidR="00BA0BF1" w:rsidRPr="00BA0BF1">
              <w:t xml:space="preserve">2, </w:t>
            </w:r>
            <w:r>
              <w:t>П</w:t>
            </w:r>
            <w:r w:rsidR="00BA0BF1" w:rsidRPr="00BA0BF1">
              <w:t xml:space="preserve">3 </w:t>
            </w:r>
            <w:r>
              <w:t>и</w:t>
            </w:r>
            <w:r w:rsidR="00BA0BF1" w:rsidRPr="00BA0BF1">
              <w:t xml:space="preserve"> </w:t>
            </w:r>
            <w:r>
              <w:t>П</w:t>
            </w:r>
            <w:r w:rsidR="00BA0BF1" w:rsidRPr="00BA0BF1">
              <w:t xml:space="preserve">4 </w:t>
            </w:r>
            <w:r>
              <w:t>те</w:t>
            </w:r>
            <w:r w:rsidR="00BA0BF1" w:rsidRPr="00BA0BF1">
              <w:t xml:space="preserve"> </w:t>
            </w:r>
            <w:r>
              <w:t>на</w:t>
            </w:r>
            <w:r w:rsidR="00BA0BF1" w:rsidRPr="00BA0BF1">
              <w:t xml:space="preserve"> </w:t>
            </w:r>
            <w:r>
              <w:t>обрасцу</w:t>
            </w:r>
            <w:r w:rsidR="00BA0BF1" w:rsidRPr="00BA0BF1">
              <w:t xml:space="preserve"> </w:t>
            </w:r>
            <w:r>
              <w:t>Финансијског</w:t>
            </w:r>
            <w:r w:rsidR="00BA0BF1" w:rsidRPr="00BA0BF1">
              <w:t xml:space="preserve"> </w:t>
            </w:r>
            <w:r>
              <w:t>плана</w:t>
            </w:r>
            <w:r w:rsidR="00BA0BF1" w:rsidRPr="00BA0BF1">
              <w:t xml:space="preserve"> </w:t>
            </w:r>
            <w:r>
              <w:t>ФП</w:t>
            </w:r>
            <w:r w:rsidR="00BA0BF1" w:rsidRPr="00BA0BF1">
              <w:t>-</w:t>
            </w:r>
            <w:r>
              <w:t>НИР</w:t>
            </w:r>
            <w:r w:rsidR="00BA0BF1" w:rsidRPr="00BA0BF1">
              <w:t>.</w:t>
            </w:r>
          </w:p>
          <w:p w14:paraId="1E7E64E3" w14:textId="5AED33C6" w:rsidR="00BA0BF1" w:rsidRDefault="00EC6BBA" w:rsidP="008D6338">
            <w:r>
              <w:t>Пријаве</w:t>
            </w:r>
            <w:r w:rsidR="00BA0BF1" w:rsidRPr="00BA0BF1">
              <w:t xml:space="preserve"> </w:t>
            </w:r>
            <w:r>
              <w:t>на</w:t>
            </w:r>
            <w:r w:rsidR="00BA0BF1" w:rsidRPr="00BA0BF1">
              <w:t xml:space="preserve"> </w:t>
            </w:r>
            <w:r>
              <w:t>Јавни</w:t>
            </w:r>
            <w:r w:rsidR="00BA0BF1" w:rsidRPr="00BA0BF1">
              <w:t xml:space="preserve"> </w:t>
            </w:r>
            <w:r>
              <w:t>позив</w:t>
            </w:r>
            <w:r w:rsidR="00BA0BF1" w:rsidRPr="00BA0BF1">
              <w:t xml:space="preserve"> </w:t>
            </w:r>
            <w:r>
              <w:t>се</w:t>
            </w:r>
            <w:r w:rsidR="00BA0BF1" w:rsidRPr="00BA0BF1">
              <w:t xml:space="preserve"> </w:t>
            </w:r>
            <w:r>
              <w:t>подносе</w:t>
            </w:r>
            <w:r w:rsidR="00BA0BF1" w:rsidRPr="00BA0BF1">
              <w:t xml:space="preserve"> </w:t>
            </w:r>
            <w:r>
              <w:t>лично</w:t>
            </w:r>
            <w:r w:rsidR="00BA0BF1" w:rsidRPr="00BA0BF1">
              <w:t xml:space="preserve"> </w:t>
            </w:r>
            <w:r>
              <w:t>или</w:t>
            </w:r>
            <w:r w:rsidR="00BA0BF1" w:rsidRPr="00BA0BF1">
              <w:t xml:space="preserve"> </w:t>
            </w:r>
            <w:r>
              <w:t>поштом</w:t>
            </w:r>
            <w:r w:rsidR="00BA0BF1" w:rsidRPr="00BA0BF1">
              <w:t xml:space="preserve"> </w:t>
            </w:r>
            <w:r>
              <w:t>у</w:t>
            </w:r>
            <w:r w:rsidR="00BA0BF1" w:rsidRPr="00BA0BF1">
              <w:t xml:space="preserve"> </w:t>
            </w:r>
            <w:r>
              <w:t>затвореној</w:t>
            </w:r>
            <w:r w:rsidR="00BA0BF1" w:rsidRPr="00BA0BF1">
              <w:t xml:space="preserve"> </w:t>
            </w:r>
            <w:r>
              <w:t>коверти</w:t>
            </w:r>
            <w:r w:rsidR="00BA0BF1" w:rsidRPr="00BA0BF1">
              <w:t xml:space="preserve"> </w:t>
            </w:r>
            <w:r>
              <w:t>искључиво</w:t>
            </w:r>
            <w:r w:rsidR="00BA0BF1" w:rsidRPr="00BA0BF1">
              <w:t xml:space="preserve"> </w:t>
            </w:r>
            <w:r>
              <w:t>на</w:t>
            </w:r>
            <w:r w:rsidR="00BA0BF1" w:rsidRPr="00BA0BF1">
              <w:t xml:space="preserve"> </w:t>
            </w:r>
            <w:r>
              <w:t>адресу</w:t>
            </w:r>
            <w:r w:rsidR="00BA0BF1">
              <w:t xml:space="preserve"> </w:t>
            </w:r>
            <w:r>
              <w:t>Министарства</w:t>
            </w:r>
            <w:r w:rsidR="008D6338">
              <w:t xml:space="preserve">. </w:t>
            </w:r>
          </w:p>
          <w:p w14:paraId="472F9B13" w14:textId="267852E0" w:rsidR="008D6338" w:rsidRDefault="00EC6BBA" w:rsidP="008D6338">
            <w:r>
              <w:t>Обавезно</w:t>
            </w:r>
            <w:r w:rsidR="008D6338" w:rsidRPr="003D5024">
              <w:t xml:space="preserve"> </w:t>
            </w:r>
            <w:r>
              <w:t>на</w:t>
            </w:r>
            <w:r w:rsidR="008D6338" w:rsidRPr="003D5024">
              <w:t xml:space="preserve"> </w:t>
            </w:r>
            <w:r>
              <w:t>коверти</w:t>
            </w:r>
            <w:r w:rsidR="008D6338" w:rsidRPr="003D5024">
              <w:t xml:space="preserve"> </w:t>
            </w:r>
            <w:r>
              <w:t>навести</w:t>
            </w:r>
            <w:r w:rsidR="008D6338" w:rsidRPr="003D5024">
              <w:t xml:space="preserve"> </w:t>
            </w:r>
            <w:r>
              <w:t>назив</w:t>
            </w:r>
            <w:r w:rsidR="00BA0BF1" w:rsidRPr="00BA0BF1">
              <w:t xml:space="preserve"> </w:t>
            </w:r>
            <w:r>
              <w:t>институције</w:t>
            </w:r>
            <w:r w:rsidR="00BA0BF1" w:rsidRPr="00BA0BF1">
              <w:t xml:space="preserve"> </w:t>
            </w:r>
            <w:r>
              <w:t>и</w:t>
            </w:r>
            <w:r w:rsidR="00BA0BF1" w:rsidRPr="00BA0BF1">
              <w:t xml:space="preserve"> </w:t>
            </w:r>
            <w:r>
              <w:t>име</w:t>
            </w:r>
            <w:r w:rsidR="00BA0BF1" w:rsidRPr="00BA0BF1">
              <w:t xml:space="preserve"> </w:t>
            </w:r>
            <w:r>
              <w:t>и</w:t>
            </w:r>
            <w:r w:rsidR="00BA0BF1" w:rsidRPr="00BA0BF1">
              <w:t xml:space="preserve"> </w:t>
            </w:r>
            <w:r>
              <w:t>презиме</w:t>
            </w:r>
            <w:r w:rsidR="00BA0BF1" w:rsidRPr="00BA0BF1">
              <w:t xml:space="preserve"> </w:t>
            </w:r>
            <w:r>
              <w:t>водитеља</w:t>
            </w:r>
            <w:r w:rsidR="00BA0BF1" w:rsidRPr="00BA0BF1">
              <w:t xml:space="preserve"> </w:t>
            </w:r>
            <w:r>
              <w:t>пројекта</w:t>
            </w:r>
            <w:r w:rsidR="008D6338" w:rsidRPr="003D5024">
              <w:t>.</w:t>
            </w:r>
          </w:p>
          <w:p w14:paraId="4B764BDF" w14:textId="77777777" w:rsidR="008D6338" w:rsidRDefault="008D6338" w:rsidP="003D5024">
            <w:pPr>
              <w:rPr>
                <w:b/>
                <w:bCs/>
              </w:rPr>
            </w:pPr>
          </w:p>
          <w:p w14:paraId="596E44C1" w14:textId="72F1D019" w:rsidR="0025039F" w:rsidRDefault="00EC6BBA" w:rsidP="003D5024">
            <w:r>
              <w:rPr>
                <w:b/>
                <w:bCs/>
              </w:rPr>
              <w:t>Адреса</w:t>
            </w:r>
            <w:r w:rsidR="003D5024" w:rsidRPr="000843B5">
              <w:rPr>
                <w:b/>
                <w:bCs/>
              </w:rPr>
              <w:t>:</w:t>
            </w:r>
            <w:r w:rsidR="003D5024">
              <w:t xml:space="preserve"> </w:t>
            </w:r>
          </w:p>
          <w:p w14:paraId="573314C3" w14:textId="5D557162" w:rsidR="0025039F" w:rsidRDefault="00EC6BBA" w:rsidP="003D5024">
            <w:r>
              <w:t>ФЕДЕРАЛНО</w:t>
            </w:r>
            <w:r w:rsidR="003D5024">
              <w:t xml:space="preserve"> </w:t>
            </w:r>
            <w:r>
              <w:t>МИНИСТАРСТВО</w:t>
            </w:r>
            <w:r w:rsidR="003D5024">
              <w:t xml:space="preserve"> </w:t>
            </w:r>
            <w:r>
              <w:t>ОБРАЗОВАЊА</w:t>
            </w:r>
            <w:r w:rsidR="003D5024">
              <w:t xml:space="preserve"> </w:t>
            </w:r>
            <w:r>
              <w:t>И</w:t>
            </w:r>
            <w:r w:rsidR="003D5024">
              <w:t xml:space="preserve"> </w:t>
            </w:r>
            <w:r>
              <w:t>НАУКЕ</w:t>
            </w:r>
          </w:p>
          <w:p w14:paraId="2D2DB2CC" w14:textId="020FD9AC" w:rsidR="0025039F" w:rsidRDefault="00EC6BBA" w:rsidP="003D5024">
            <w:r>
              <w:lastRenderedPageBreak/>
              <w:t>Др</w:t>
            </w:r>
            <w:r w:rsidR="003D5024">
              <w:t xml:space="preserve">. </w:t>
            </w:r>
            <w:r>
              <w:t>Анте</w:t>
            </w:r>
            <w:r w:rsidR="0025039F">
              <w:t xml:space="preserve"> </w:t>
            </w:r>
            <w:r>
              <w:t>Старчевића</w:t>
            </w:r>
            <w:r w:rsidR="0025039F">
              <w:t xml:space="preserve"> </w:t>
            </w:r>
            <w:r>
              <w:t>бб</w:t>
            </w:r>
            <w:r w:rsidR="0025039F">
              <w:t xml:space="preserve"> (</w:t>
            </w:r>
            <w:r>
              <w:t>Хотел</w:t>
            </w:r>
            <w:r w:rsidR="0025039F">
              <w:t xml:space="preserve"> „</w:t>
            </w:r>
            <w:r>
              <w:t>Еро</w:t>
            </w:r>
            <w:r w:rsidR="0025039F">
              <w:t>“)</w:t>
            </w:r>
          </w:p>
          <w:p w14:paraId="4FD228C1" w14:textId="20129C16" w:rsidR="003D5024" w:rsidRDefault="003D5024" w:rsidP="003D5024">
            <w:r>
              <w:t xml:space="preserve">88 000 </w:t>
            </w:r>
            <w:r w:rsidR="00EC6BBA">
              <w:t>Мостар</w:t>
            </w:r>
          </w:p>
          <w:p w14:paraId="6ADF8E17" w14:textId="77777777" w:rsidR="0025039F" w:rsidRDefault="0025039F" w:rsidP="003D5024"/>
          <w:p w14:paraId="0ECAB49F" w14:textId="4EF6395B" w:rsidR="003D5024" w:rsidRDefault="00EC6BBA" w:rsidP="003D5024">
            <w:r>
              <w:t>Са</w:t>
            </w:r>
            <w:r w:rsidR="003D5024" w:rsidRPr="003D5024">
              <w:t xml:space="preserve"> </w:t>
            </w:r>
            <w:r>
              <w:t>назнаком</w:t>
            </w:r>
            <w:r w:rsidR="003D5024" w:rsidRPr="003D5024">
              <w:t>: „</w:t>
            </w:r>
            <w:r>
              <w:t>Пријава</w:t>
            </w:r>
            <w:r w:rsidR="00BA0BF1" w:rsidRPr="00BA0BF1">
              <w:t xml:space="preserve"> </w:t>
            </w:r>
            <w:r>
              <w:t>на</w:t>
            </w:r>
            <w:r w:rsidR="00BA0BF1" w:rsidRPr="00BA0BF1">
              <w:t xml:space="preserve"> </w:t>
            </w:r>
            <w:r>
              <w:t>Јавни</w:t>
            </w:r>
            <w:r w:rsidR="00BA0BF1" w:rsidRPr="00BA0BF1">
              <w:t xml:space="preserve"> </w:t>
            </w:r>
            <w:r>
              <w:t>позив</w:t>
            </w:r>
            <w:r w:rsidR="00BA0BF1" w:rsidRPr="00BA0BF1">
              <w:t xml:space="preserve"> </w:t>
            </w:r>
            <w:r>
              <w:t>за</w:t>
            </w:r>
            <w:r w:rsidR="00BA0BF1" w:rsidRPr="00BA0BF1">
              <w:t xml:space="preserve"> </w:t>
            </w:r>
            <w:r>
              <w:t>научно</w:t>
            </w:r>
            <w:r w:rsidR="00BA0BF1" w:rsidRPr="00BA0BF1">
              <w:t>-</w:t>
            </w:r>
            <w:r>
              <w:t>истраживачке</w:t>
            </w:r>
            <w:r w:rsidR="00BA0BF1" w:rsidRPr="00BA0BF1">
              <w:t xml:space="preserve"> </w:t>
            </w:r>
            <w:r>
              <w:t>и</w:t>
            </w:r>
            <w:r w:rsidR="00BA0BF1" w:rsidRPr="00BA0BF1">
              <w:t xml:space="preserve"> </w:t>
            </w:r>
            <w:r>
              <w:t>истраживачко</w:t>
            </w:r>
            <w:r w:rsidR="00BA0BF1" w:rsidRPr="00BA0BF1">
              <w:t>-</w:t>
            </w:r>
            <w:r>
              <w:t>развојне</w:t>
            </w:r>
            <w:r w:rsidR="00BA0BF1" w:rsidRPr="00BA0BF1">
              <w:t xml:space="preserve"> </w:t>
            </w:r>
            <w:r>
              <w:t>пројекте</w:t>
            </w:r>
            <w:r w:rsidR="00BA0BF1" w:rsidRPr="00BA0BF1">
              <w:t xml:space="preserve"> </w:t>
            </w:r>
            <w:r w:rsidR="003D5024" w:rsidRPr="003D5024">
              <w:t xml:space="preserve">– </w:t>
            </w:r>
            <w:r>
              <w:t>не</w:t>
            </w:r>
            <w:r w:rsidR="003D5024" w:rsidRPr="003D5024">
              <w:t xml:space="preserve"> </w:t>
            </w:r>
            <w:r>
              <w:t>отварати</w:t>
            </w:r>
            <w:r w:rsidR="003D5024" w:rsidRPr="003D5024">
              <w:t>“</w:t>
            </w:r>
          </w:p>
          <w:p w14:paraId="67D4011E" w14:textId="4B3BBE47" w:rsidR="005971C4" w:rsidRDefault="005971C4" w:rsidP="003D5024"/>
          <w:p w14:paraId="36391457" w14:textId="11A620E5" w:rsidR="000843B5" w:rsidRDefault="00EC6BBA" w:rsidP="003D5024">
            <w:r>
              <w:t>Сву</w:t>
            </w:r>
            <w:r w:rsidR="00BA0BF1" w:rsidRPr="00BA0BF1">
              <w:t xml:space="preserve"> </w:t>
            </w:r>
            <w:r>
              <w:t>документацију</w:t>
            </w:r>
            <w:r w:rsidR="00BA0BF1" w:rsidRPr="00BA0BF1">
              <w:t xml:space="preserve"> </w:t>
            </w:r>
            <w:r>
              <w:t>пријаве</w:t>
            </w:r>
            <w:r w:rsidR="00BA0BF1" w:rsidRPr="00BA0BF1">
              <w:t xml:space="preserve"> </w:t>
            </w:r>
            <w:r>
              <w:t>на</w:t>
            </w:r>
            <w:r w:rsidR="00BA0BF1" w:rsidRPr="00BA0BF1">
              <w:t xml:space="preserve"> </w:t>
            </w:r>
            <w:r>
              <w:t>Јавни</w:t>
            </w:r>
            <w:r w:rsidR="00BA0BF1" w:rsidRPr="00BA0BF1">
              <w:t xml:space="preserve"> </w:t>
            </w:r>
            <w:r>
              <w:t>позив</w:t>
            </w:r>
            <w:r w:rsidR="00BA0BF1" w:rsidRPr="00BA0BF1">
              <w:t xml:space="preserve"> </w:t>
            </w:r>
            <w:r>
              <w:t>потребно</w:t>
            </w:r>
            <w:r w:rsidR="00BA0BF1" w:rsidRPr="00BA0BF1">
              <w:t xml:space="preserve"> </w:t>
            </w:r>
            <w:r>
              <w:t>је</w:t>
            </w:r>
            <w:r w:rsidR="00BA0BF1" w:rsidRPr="00BA0BF1">
              <w:t xml:space="preserve"> </w:t>
            </w:r>
            <w:r>
              <w:t>доставити</w:t>
            </w:r>
            <w:r w:rsidR="00BA0BF1" w:rsidRPr="00BA0BF1">
              <w:t xml:space="preserve"> </w:t>
            </w:r>
            <w:r>
              <w:t>и</w:t>
            </w:r>
            <w:r w:rsidR="00BA0BF1" w:rsidRPr="00BA0BF1">
              <w:t xml:space="preserve"> </w:t>
            </w:r>
            <w:r>
              <w:t>у</w:t>
            </w:r>
            <w:r w:rsidR="00BA0BF1" w:rsidRPr="00BA0BF1">
              <w:t xml:space="preserve"> </w:t>
            </w:r>
            <w:r>
              <w:t>електронској</w:t>
            </w:r>
            <w:r w:rsidR="00BA0BF1" w:rsidRPr="00BA0BF1">
              <w:t xml:space="preserve"> </w:t>
            </w:r>
            <w:r>
              <w:t>форми</w:t>
            </w:r>
            <w:r w:rsidR="00BA0BF1" w:rsidRPr="00BA0BF1">
              <w:t xml:space="preserve"> (</w:t>
            </w:r>
            <w:r>
              <w:t>линком</w:t>
            </w:r>
            <w:r w:rsidR="00BA0BF1" w:rsidRPr="00BA0BF1">
              <w:t xml:space="preserve"> </w:t>
            </w:r>
            <w:r>
              <w:t>на</w:t>
            </w:r>
            <w:r w:rsidR="00BA0BF1" w:rsidRPr="00BA0BF1">
              <w:t xml:space="preserve"> </w:t>
            </w:r>
            <w:r>
              <w:t>Гоогле</w:t>
            </w:r>
            <w:r w:rsidR="00BA0BF1" w:rsidRPr="00BA0BF1">
              <w:t xml:space="preserve"> </w:t>
            </w:r>
            <w:r>
              <w:t>дриве</w:t>
            </w:r>
            <w:r w:rsidR="00BA0BF1" w:rsidRPr="00BA0BF1">
              <w:t xml:space="preserve"> </w:t>
            </w:r>
            <w:r>
              <w:t>или</w:t>
            </w:r>
            <w:r w:rsidR="00BA0BF1" w:rsidRPr="00BA0BF1">
              <w:t xml:space="preserve"> </w:t>
            </w:r>
            <w:r>
              <w:t>други</w:t>
            </w:r>
            <w:r w:rsidR="00BA0BF1" w:rsidRPr="00BA0BF1">
              <w:t xml:space="preserve"> </w:t>
            </w:r>
            <w:r>
              <w:t>адекватан</w:t>
            </w:r>
            <w:r w:rsidR="00BA0BF1" w:rsidRPr="00BA0BF1">
              <w:t xml:space="preserve"> </w:t>
            </w:r>
            <w:r>
              <w:t>мрежни</w:t>
            </w:r>
            <w:r w:rsidR="00BA0BF1" w:rsidRPr="00BA0BF1">
              <w:t xml:space="preserve"> </w:t>
            </w:r>
            <w:r>
              <w:t>диск</w:t>
            </w:r>
            <w:r w:rsidR="00BA0BF1" w:rsidRPr="00BA0BF1">
              <w:t xml:space="preserve"> </w:t>
            </w:r>
            <w:r>
              <w:t>путем</w:t>
            </w:r>
            <w:r w:rsidR="00BA0BF1" w:rsidRPr="00BA0BF1">
              <w:t xml:space="preserve"> </w:t>
            </w:r>
            <w:r>
              <w:t>емаил</w:t>
            </w:r>
            <w:r w:rsidR="00BA0BF1" w:rsidRPr="00BA0BF1">
              <w:t xml:space="preserve"> </w:t>
            </w:r>
            <w:r>
              <w:t>адресе</w:t>
            </w:r>
            <w:r w:rsidR="00BA0BF1" w:rsidRPr="00BA0BF1">
              <w:t xml:space="preserve">: </w:t>
            </w:r>
            <w:hyperlink r:id="rId5" w:history="1">
              <w:r>
                <w:rPr>
                  <w:rStyle w:val="Hyperlink"/>
                </w:rPr>
                <w:t>конкурси</w:t>
              </w:r>
              <w:r w:rsidR="00BA0BF1" w:rsidRPr="00D71C36">
                <w:rPr>
                  <w:rStyle w:val="Hyperlink"/>
                </w:rPr>
                <w:t>@</w:t>
              </w:r>
              <w:r>
                <w:rPr>
                  <w:rStyle w:val="Hyperlink"/>
                </w:rPr>
                <w:t>фмон</w:t>
              </w:r>
              <w:r w:rsidR="00BA0BF1" w:rsidRPr="00D71C36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гов</w:t>
              </w:r>
              <w:r w:rsidR="00BA0BF1" w:rsidRPr="00D71C36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ба</w:t>
              </w:r>
            </w:hyperlink>
            <w:r w:rsidR="00BA0BF1" w:rsidRPr="00BA0BF1">
              <w:t>).</w:t>
            </w:r>
          </w:p>
          <w:p w14:paraId="2E0BB2D1" w14:textId="77777777" w:rsidR="00BA0BF1" w:rsidRDefault="00BA0BF1" w:rsidP="003D5024"/>
          <w:p w14:paraId="3823487B" w14:textId="33C8B1C2" w:rsidR="000843B5" w:rsidRPr="000843B5" w:rsidRDefault="00EC6BBA" w:rsidP="003D5024">
            <w:pPr>
              <w:rPr>
                <w:b/>
                <w:bCs/>
              </w:rPr>
            </w:pPr>
            <w:r>
              <w:rPr>
                <w:b/>
                <w:bCs/>
              </w:rPr>
              <w:t>Рокови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начин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комуникације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Министарством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током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трајања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јавног</w:t>
            </w:r>
            <w:r w:rsidR="000843B5" w:rsidRPr="00084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позива</w:t>
            </w:r>
            <w:r w:rsidR="000843B5" w:rsidRPr="000843B5">
              <w:rPr>
                <w:b/>
                <w:bCs/>
              </w:rPr>
              <w:t>:</w:t>
            </w:r>
          </w:p>
          <w:p w14:paraId="677BF257" w14:textId="54EFC28D" w:rsidR="00BA0BF1" w:rsidRDefault="00EC6BBA" w:rsidP="00BA0BF1">
            <w:r>
              <w:t>Начин</w:t>
            </w:r>
            <w:r w:rsidR="00BA0BF1">
              <w:t xml:space="preserve"> </w:t>
            </w:r>
            <w:r>
              <w:t>комуникације</w:t>
            </w:r>
            <w:r w:rsidR="00BA0BF1">
              <w:t xml:space="preserve"> </w:t>
            </w:r>
            <w:r>
              <w:t>с</w:t>
            </w:r>
            <w:r w:rsidR="00BA0BF1">
              <w:t xml:space="preserve"> </w:t>
            </w:r>
            <w:r>
              <w:t>Федералним</w:t>
            </w:r>
            <w:r w:rsidR="00BA0BF1">
              <w:t xml:space="preserve"> </w:t>
            </w:r>
            <w:r>
              <w:t>министарством</w:t>
            </w:r>
            <w:r w:rsidR="00BA0BF1">
              <w:t xml:space="preserve"> </w:t>
            </w:r>
            <w:r>
              <w:t>образовања</w:t>
            </w:r>
            <w:r w:rsidR="00BA0BF1">
              <w:t xml:space="preserve"> </w:t>
            </w:r>
            <w:r>
              <w:t>и</w:t>
            </w:r>
            <w:r w:rsidR="00BA0BF1">
              <w:t xml:space="preserve"> </w:t>
            </w:r>
            <w:r>
              <w:t>науке</w:t>
            </w:r>
            <w:r w:rsidR="00BA0BF1">
              <w:t xml:space="preserve"> </w:t>
            </w:r>
            <w:r>
              <w:t>за</w:t>
            </w:r>
            <w:r w:rsidR="00BA0BF1">
              <w:t xml:space="preserve"> </w:t>
            </w:r>
            <w:r>
              <w:t>вријеме</w:t>
            </w:r>
            <w:r w:rsidR="00BA0BF1">
              <w:t xml:space="preserve"> </w:t>
            </w:r>
            <w:r>
              <w:t>трајања</w:t>
            </w:r>
            <w:r w:rsidR="00BA0BF1">
              <w:t xml:space="preserve"> </w:t>
            </w:r>
            <w:r>
              <w:t>Јавног</w:t>
            </w:r>
            <w:r w:rsidR="00BA0BF1">
              <w:t xml:space="preserve"> </w:t>
            </w:r>
            <w:r>
              <w:t>позива</w:t>
            </w:r>
            <w:r w:rsidR="00BA0BF1">
              <w:t xml:space="preserve"> </w:t>
            </w:r>
            <w:r>
              <w:t>одвија</w:t>
            </w:r>
            <w:r w:rsidR="00BA0BF1">
              <w:t xml:space="preserve"> </w:t>
            </w:r>
            <w:r>
              <w:t>се</w:t>
            </w:r>
            <w:r w:rsidR="00BA0BF1">
              <w:t xml:space="preserve"> </w:t>
            </w:r>
            <w:r>
              <w:t>на</w:t>
            </w:r>
            <w:r w:rsidR="00BA0BF1">
              <w:t xml:space="preserve"> </w:t>
            </w:r>
            <w:r>
              <w:t>три</w:t>
            </w:r>
            <w:r w:rsidR="00BA0BF1">
              <w:t xml:space="preserve"> </w:t>
            </w:r>
            <w:r>
              <w:t>начина</w:t>
            </w:r>
            <w:r w:rsidR="00BA0BF1">
              <w:t xml:space="preserve">: </w:t>
            </w:r>
          </w:p>
          <w:p w14:paraId="190CCFEB" w14:textId="5BC85602" w:rsidR="00BA0BF1" w:rsidRDefault="00BA0BF1" w:rsidP="00BA0BF1">
            <w:pPr>
              <w:ind w:left="522" w:hanging="270"/>
            </w:pPr>
            <w:r>
              <w:t>1.</w:t>
            </w:r>
            <w:r>
              <w:tab/>
            </w:r>
            <w:r w:rsidR="00EC6BBA">
              <w:t>Упитима</w:t>
            </w:r>
            <w:r>
              <w:t xml:space="preserve"> </w:t>
            </w:r>
            <w:r w:rsidR="00EC6BBA">
              <w:t>и</w:t>
            </w:r>
            <w:r>
              <w:t xml:space="preserve"> </w:t>
            </w:r>
            <w:r w:rsidR="00EC6BBA">
              <w:t>дописима</w:t>
            </w:r>
            <w:r>
              <w:t xml:space="preserve"> </w:t>
            </w:r>
            <w:r w:rsidR="00EC6BBA">
              <w:t>посланим</w:t>
            </w:r>
            <w:r>
              <w:t xml:space="preserve"> </w:t>
            </w:r>
            <w:r w:rsidR="00EC6BBA">
              <w:t>на</w:t>
            </w:r>
            <w:r>
              <w:t xml:space="preserve"> </w:t>
            </w:r>
            <w:r w:rsidR="00EC6BBA">
              <w:t>адресу</w:t>
            </w:r>
            <w:r>
              <w:t xml:space="preserve"> </w:t>
            </w:r>
            <w:r w:rsidR="00EC6BBA">
              <w:t>електронске</w:t>
            </w:r>
            <w:r>
              <w:t xml:space="preserve"> </w:t>
            </w:r>
            <w:r w:rsidR="00EC6BBA">
              <w:t>поште</w:t>
            </w:r>
            <w:r>
              <w:t xml:space="preserve">: </w:t>
            </w:r>
            <w:hyperlink r:id="rId6" w:history="1">
              <w:r w:rsidR="00EC6BBA">
                <w:rPr>
                  <w:rStyle w:val="Hyperlink"/>
                </w:rPr>
                <w:t>конкурси</w:t>
              </w:r>
              <w:r w:rsidRPr="00D71C36">
                <w:rPr>
                  <w:rStyle w:val="Hyperlink"/>
                </w:rPr>
                <w:t>@</w:t>
              </w:r>
              <w:r w:rsidR="00EC6BBA">
                <w:rPr>
                  <w:rStyle w:val="Hyperlink"/>
                </w:rPr>
                <w:t>фмон</w:t>
              </w:r>
              <w:r w:rsidRPr="00D71C36">
                <w:rPr>
                  <w:rStyle w:val="Hyperlink"/>
                </w:rPr>
                <w:t>.</w:t>
              </w:r>
              <w:r w:rsidR="00EC6BBA">
                <w:rPr>
                  <w:rStyle w:val="Hyperlink"/>
                </w:rPr>
                <w:t>гов</w:t>
              </w:r>
              <w:r w:rsidRPr="00D71C36">
                <w:rPr>
                  <w:rStyle w:val="Hyperlink"/>
                </w:rPr>
                <w:t>.</w:t>
              </w:r>
              <w:r w:rsidR="00EC6BBA">
                <w:rPr>
                  <w:rStyle w:val="Hyperlink"/>
                </w:rPr>
                <w:t>ба</w:t>
              </w:r>
            </w:hyperlink>
            <w:r>
              <w:t xml:space="preserve"> ,</w:t>
            </w:r>
          </w:p>
          <w:p w14:paraId="1B913BD2" w14:textId="6B78E544" w:rsidR="00BA0BF1" w:rsidRDefault="00BA0BF1" w:rsidP="00BA0BF1">
            <w:pPr>
              <w:ind w:left="522" w:hanging="270"/>
            </w:pPr>
            <w:r>
              <w:t>2.</w:t>
            </w:r>
            <w:r>
              <w:tab/>
            </w:r>
            <w:r w:rsidR="00EC6BBA">
              <w:t>На</w:t>
            </w:r>
            <w:r>
              <w:t xml:space="preserve"> </w:t>
            </w:r>
            <w:r w:rsidR="00EC6BBA">
              <w:t>бројеве</w:t>
            </w:r>
            <w:r>
              <w:t xml:space="preserve"> </w:t>
            </w:r>
            <w:r w:rsidR="00EC6BBA">
              <w:t>телефона</w:t>
            </w:r>
            <w:r>
              <w:t xml:space="preserve">: 036/355-708, 036/355-718 </w:t>
            </w:r>
            <w:r w:rsidR="00EC6BBA">
              <w:t>и</w:t>
            </w:r>
            <w:r>
              <w:t xml:space="preserve"> 036/355-719.</w:t>
            </w:r>
          </w:p>
          <w:p w14:paraId="53C0B338" w14:textId="086D3147" w:rsidR="005971C4" w:rsidRDefault="00BA0BF1" w:rsidP="00BA0BF1">
            <w:pPr>
              <w:ind w:left="522" w:hanging="270"/>
            </w:pPr>
            <w:r>
              <w:t>3.</w:t>
            </w:r>
            <w:r>
              <w:tab/>
            </w:r>
            <w:r w:rsidR="00EC6BBA">
              <w:t>Објавом</w:t>
            </w:r>
            <w:r>
              <w:t xml:space="preserve"> </w:t>
            </w:r>
            <w:r w:rsidR="00EC6BBA">
              <w:t>најчешћих</w:t>
            </w:r>
            <w:r>
              <w:t xml:space="preserve"> </w:t>
            </w:r>
            <w:r w:rsidR="00EC6BBA">
              <w:t>питања</w:t>
            </w:r>
            <w:r>
              <w:t xml:space="preserve"> </w:t>
            </w:r>
            <w:r w:rsidR="00EC6BBA">
              <w:t>и</w:t>
            </w:r>
            <w:r>
              <w:t xml:space="preserve"> </w:t>
            </w:r>
            <w:r w:rsidR="00EC6BBA">
              <w:t>одговора</w:t>
            </w:r>
            <w:r>
              <w:t xml:space="preserve"> </w:t>
            </w:r>
            <w:r w:rsidR="00EC6BBA">
              <w:t>на</w:t>
            </w:r>
            <w:r>
              <w:t xml:space="preserve"> </w:t>
            </w:r>
            <w:r w:rsidR="00EC6BBA">
              <w:t>интернетској</w:t>
            </w:r>
            <w:r>
              <w:t xml:space="preserve"> </w:t>
            </w:r>
            <w:r w:rsidR="00EC6BBA">
              <w:t>страници</w:t>
            </w:r>
            <w:r>
              <w:t xml:space="preserve"> </w:t>
            </w:r>
            <w:r w:rsidR="00EC6BBA">
              <w:t>Министарства</w:t>
            </w:r>
            <w:r>
              <w:t xml:space="preserve"> – </w:t>
            </w:r>
            <w:hyperlink r:id="rId7" w:history="1">
              <w:r w:rsidRPr="00D71C36">
                <w:rPr>
                  <w:rStyle w:val="Hyperlink"/>
                </w:rPr>
                <w:t>www.</w:t>
              </w:r>
              <w:r w:rsidR="00EC6BBA">
                <w:rPr>
                  <w:rStyle w:val="Hyperlink"/>
                </w:rPr>
                <w:t>фмон</w:t>
              </w:r>
              <w:r w:rsidRPr="00D71C36">
                <w:rPr>
                  <w:rStyle w:val="Hyperlink"/>
                </w:rPr>
                <w:t>.</w:t>
              </w:r>
              <w:r w:rsidR="00EC6BBA">
                <w:rPr>
                  <w:rStyle w:val="Hyperlink"/>
                </w:rPr>
                <w:t>гов</w:t>
              </w:r>
              <w:r w:rsidRPr="00D71C36">
                <w:rPr>
                  <w:rStyle w:val="Hyperlink"/>
                </w:rPr>
                <w:t>.</w:t>
              </w:r>
              <w:r w:rsidR="00EC6BBA">
                <w:rPr>
                  <w:rStyle w:val="Hyperlink"/>
                </w:rPr>
                <w:t>ба</w:t>
              </w:r>
            </w:hyperlink>
            <w:r>
              <w:t xml:space="preserve"> .</w:t>
            </w:r>
          </w:p>
        </w:tc>
      </w:tr>
      <w:tr w:rsidR="0025663B" w14:paraId="7CCFC57C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11DBBE81" w14:textId="009CE0E7" w:rsidR="0025663B" w:rsidRDefault="0025663B" w:rsidP="00531CAA">
            <w:r>
              <w:lastRenderedPageBreak/>
              <w:t>17</w:t>
            </w:r>
          </w:p>
        </w:tc>
        <w:tc>
          <w:tcPr>
            <w:tcW w:w="3202" w:type="dxa"/>
            <w:vAlign w:val="center"/>
          </w:tcPr>
          <w:p w14:paraId="36281B27" w14:textId="46017356" w:rsidR="0025663B" w:rsidRPr="00102F11" w:rsidRDefault="00EC6BBA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Додатне</w:t>
            </w:r>
            <w:r w:rsidR="0025663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напомене</w:t>
            </w:r>
          </w:p>
        </w:tc>
        <w:tc>
          <w:tcPr>
            <w:tcW w:w="6390" w:type="dxa"/>
            <w:vAlign w:val="center"/>
          </w:tcPr>
          <w:p w14:paraId="3BA67B2A" w14:textId="15745D80" w:rsidR="0025663B" w:rsidRPr="00BA0BF1" w:rsidRDefault="00EC6BBA" w:rsidP="00BA0BF1">
            <w:pPr>
              <w:rPr>
                <w:bCs/>
              </w:rPr>
            </w:pPr>
            <w:r>
              <w:rPr>
                <w:bCs/>
              </w:rPr>
              <w:t>Корисници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средстава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који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су</w:t>
            </w:r>
            <w:r w:rsidR="00066213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додијељена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средства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претходном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периоду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били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дужни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овом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Министарству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доставити</w:t>
            </w:r>
            <w:r w:rsidR="00BA0BF1" w:rsidRPr="00BA0BF1">
              <w:rPr>
                <w:bCs/>
              </w:rPr>
              <w:t xml:space="preserve">, </w:t>
            </w:r>
            <w:r>
              <w:rPr>
                <w:bCs/>
              </w:rPr>
              <w:t>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нису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доставили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Завршни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извјештај</w:t>
            </w:r>
            <w:r w:rsidR="00BA0BF1" w:rsidRPr="00BA0BF1">
              <w:rPr>
                <w:bCs/>
              </w:rPr>
              <w:t xml:space="preserve"> (</w:t>
            </w:r>
            <w:r>
              <w:rPr>
                <w:bCs/>
              </w:rPr>
              <w:t>са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доказима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објављеним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радовима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референтним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научним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часописима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или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исписом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из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релевантне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базе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података</w:t>
            </w:r>
            <w:r w:rsidR="00BA0BF1" w:rsidRPr="00BA0BF1">
              <w:rPr>
                <w:bCs/>
              </w:rPr>
              <w:t xml:space="preserve">), </w:t>
            </w:r>
            <w:r>
              <w:rPr>
                <w:bCs/>
              </w:rPr>
              <w:t>Финансијски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извјештај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намјенском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утрошку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средстава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или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достављеном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Финансијском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извјештају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нису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правдали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цјелокупна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додјељена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средства</w:t>
            </w:r>
            <w:r w:rsidR="00BA0BF1" w:rsidRPr="00BA0BF1">
              <w:rPr>
                <w:bCs/>
              </w:rPr>
              <w:t xml:space="preserve">, </w:t>
            </w:r>
            <w:r>
              <w:rPr>
                <w:bCs/>
              </w:rPr>
              <w:t>исте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су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дужни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доставити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најкасније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до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рока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одређеног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достављање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пријава</w:t>
            </w:r>
            <w:r w:rsidR="00BA0BF1" w:rsidRPr="00BA0BF1">
              <w:rPr>
                <w:bCs/>
              </w:rPr>
              <w:t xml:space="preserve">. </w:t>
            </w:r>
            <w:r>
              <w:rPr>
                <w:bCs/>
              </w:rPr>
              <w:t>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противном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њихове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пријаве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овај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Јавни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позив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неће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бити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разматране</w:t>
            </w:r>
            <w:r w:rsidR="00BA0BF1" w:rsidRPr="00BA0BF1">
              <w:rPr>
                <w:bCs/>
              </w:rPr>
              <w:t xml:space="preserve">, </w:t>
            </w:r>
            <w:r>
              <w:rPr>
                <w:bCs/>
              </w:rPr>
              <w:t>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Министарство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ће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бити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присиљено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путем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надлежних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органа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подузме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одговарајуће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мјере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складу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са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законом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ради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заштите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намјенског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утрошка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додијељених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јавних</w:t>
            </w:r>
            <w:r w:rsidR="00BA0BF1" w:rsidRPr="00BA0BF1">
              <w:rPr>
                <w:bCs/>
              </w:rPr>
              <w:t xml:space="preserve"> </w:t>
            </w:r>
            <w:r>
              <w:rPr>
                <w:bCs/>
              </w:rPr>
              <w:t>средстава</w:t>
            </w:r>
            <w:r w:rsidR="00BA0BF1" w:rsidRPr="00BA0BF1">
              <w:rPr>
                <w:bCs/>
              </w:rPr>
              <w:t xml:space="preserve">. </w:t>
            </w: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 w:rsidSect="00226ED3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656"/>
    <w:multiLevelType w:val="hybridMultilevel"/>
    <w:tmpl w:val="419EC7D4"/>
    <w:lvl w:ilvl="0" w:tplc="12021B0C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8CB53E6"/>
    <w:multiLevelType w:val="hybridMultilevel"/>
    <w:tmpl w:val="AE8CB986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D28"/>
    <w:multiLevelType w:val="hybridMultilevel"/>
    <w:tmpl w:val="E2BC01AE"/>
    <w:lvl w:ilvl="0" w:tplc="12021B0C">
      <w:numFmt w:val="bullet"/>
      <w:lvlText w:val="-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BB52603"/>
    <w:multiLevelType w:val="hybridMultilevel"/>
    <w:tmpl w:val="D186AB72"/>
    <w:lvl w:ilvl="0" w:tplc="12021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1076"/>
    <w:multiLevelType w:val="hybridMultilevel"/>
    <w:tmpl w:val="65969F84"/>
    <w:lvl w:ilvl="0" w:tplc="BEB4715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573F0"/>
    <w:multiLevelType w:val="hybridMultilevel"/>
    <w:tmpl w:val="4CCA5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036F"/>
    <w:multiLevelType w:val="hybridMultilevel"/>
    <w:tmpl w:val="F2FAE256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94E93"/>
    <w:multiLevelType w:val="hybridMultilevel"/>
    <w:tmpl w:val="2542CE22"/>
    <w:lvl w:ilvl="0" w:tplc="12021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C496C"/>
    <w:multiLevelType w:val="hybridMultilevel"/>
    <w:tmpl w:val="F2FA0FF4"/>
    <w:lvl w:ilvl="0" w:tplc="12021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371DA"/>
    <w:multiLevelType w:val="hybridMultilevel"/>
    <w:tmpl w:val="19D098DC"/>
    <w:lvl w:ilvl="0" w:tplc="12021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B715D"/>
    <w:multiLevelType w:val="hybridMultilevel"/>
    <w:tmpl w:val="1946E676"/>
    <w:lvl w:ilvl="0" w:tplc="CE0C2FD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53E9540E"/>
    <w:multiLevelType w:val="hybridMultilevel"/>
    <w:tmpl w:val="D7B60CC2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D54C5"/>
    <w:multiLevelType w:val="hybridMultilevel"/>
    <w:tmpl w:val="E2684C72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E440D"/>
    <w:multiLevelType w:val="hybridMultilevel"/>
    <w:tmpl w:val="0E6C8D90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C8C3E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3"/>
  </w:num>
  <w:num w:numId="5">
    <w:abstractNumId w:val="12"/>
  </w:num>
  <w:num w:numId="6">
    <w:abstractNumId w:val="1"/>
  </w:num>
  <w:num w:numId="7">
    <w:abstractNumId w:val="4"/>
  </w:num>
  <w:num w:numId="8">
    <w:abstractNumId w:val="5"/>
  </w:num>
  <w:num w:numId="9">
    <w:abstractNumId w:val="14"/>
  </w:num>
  <w:num w:numId="10">
    <w:abstractNumId w:val="6"/>
  </w:num>
  <w:num w:numId="11">
    <w:abstractNumId w:val="3"/>
  </w:num>
  <w:num w:numId="12">
    <w:abstractNumId w:val="8"/>
  </w:num>
  <w:num w:numId="13">
    <w:abstractNumId w:val="10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545E2"/>
    <w:rsid w:val="00066213"/>
    <w:rsid w:val="00072C5F"/>
    <w:rsid w:val="000843B5"/>
    <w:rsid w:val="000B5891"/>
    <w:rsid w:val="00102F11"/>
    <w:rsid w:val="00122D47"/>
    <w:rsid w:val="001534F8"/>
    <w:rsid w:val="00161610"/>
    <w:rsid w:val="00180C3E"/>
    <w:rsid w:val="00226ED3"/>
    <w:rsid w:val="0025039F"/>
    <w:rsid w:val="0025663B"/>
    <w:rsid w:val="0026354D"/>
    <w:rsid w:val="00287DEA"/>
    <w:rsid w:val="00326BC1"/>
    <w:rsid w:val="003430D1"/>
    <w:rsid w:val="00353E6C"/>
    <w:rsid w:val="0036621D"/>
    <w:rsid w:val="003D5024"/>
    <w:rsid w:val="00456BE5"/>
    <w:rsid w:val="00463283"/>
    <w:rsid w:val="00490C62"/>
    <w:rsid w:val="00493BB0"/>
    <w:rsid w:val="004F5281"/>
    <w:rsid w:val="00531CAA"/>
    <w:rsid w:val="005971C4"/>
    <w:rsid w:val="006126FC"/>
    <w:rsid w:val="0064482B"/>
    <w:rsid w:val="006567C9"/>
    <w:rsid w:val="006D6D24"/>
    <w:rsid w:val="00722A74"/>
    <w:rsid w:val="007948B6"/>
    <w:rsid w:val="007C2E94"/>
    <w:rsid w:val="007D3850"/>
    <w:rsid w:val="007E33E6"/>
    <w:rsid w:val="007F3B7A"/>
    <w:rsid w:val="008000F4"/>
    <w:rsid w:val="00810C36"/>
    <w:rsid w:val="00821984"/>
    <w:rsid w:val="00827553"/>
    <w:rsid w:val="00827C93"/>
    <w:rsid w:val="008A43F2"/>
    <w:rsid w:val="008D6338"/>
    <w:rsid w:val="008E33AF"/>
    <w:rsid w:val="0090497E"/>
    <w:rsid w:val="00962FDE"/>
    <w:rsid w:val="009A16CD"/>
    <w:rsid w:val="009B6C93"/>
    <w:rsid w:val="009B6EE9"/>
    <w:rsid w:val="009D642D"/>
    <w:rsid w:val="00A22490"/>
    <w:rsid w:val="00A40C84"/>
    <w:rsid w:val="00A51A77"/>
    <w:rsid w:val="00AC4E85"/>
    <w:rsid w:val="00AF1841"/>
    <w:rsid w:val="00B630EA"/>
    <w:rsid w:val="00BA0BF1"/>
    <w:rsid w:val="00BD54B3"/>
    <w:rsid w:val="00C353B4"/>
    <w:rsid w:val="00C93581"/>
    <w:rsid w:val="00CA00D2"/>
    <w:rsid w:val="00CD3D81"/>
    <w:rsid w:val="00CF58EA"/>
    <w:rsid w:val="00D03455"/>
    <w:rsid w:val="00DA2264"/>
    <w:rsid w:val="00DD3831"/>
    <w:rsid w:val="00E14536"/>
    <w:rsid w:val="00E254FB"/>
    <w:rsid w:val="00E36A09"/>
    <w:rsid w:val="00E53845"/>
    <w:rsid w:val="00E66AFB"/>
    <w:rsid w:val="00EC6BBA"/>
    <w:rsid w:val="00EF6EB2"/>
    <w:rsid w:val="00F02FA6"/>
    <w:rsid w:val="00F11788"/>
    <w:rsid w:val="00F4163F"/>
    <w:rsid w:val="00F53D5A"/>
    <w:rsid w:val="00F978AD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3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i@fmon.gov.ba" TargetMode="External"/><Relationship Id="rId5" Type="http://schemas.openxmlformats.org/officeDocument/2006/relationships/hyperlink" Target="mailto:konkursi@fmon.gov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55</cp:revision>
  <cp:lastPrinted>2024-06-10T13:37:00Z</cp:lastPrinted>
  <dcterms:created xsi:type="dcterms:W3CDTF">2024-02-14T13:01:00Z</dcterms:created>
  <dcterms:modified xsi:type="dcterms:W3CDTF">2025-06-02T08:03:00Z</dcterms:modified>
</cp:coreProperties>
</file>