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7E7B423C" w:rsidR="00531CAA" w:rsidRPr="00531CAA" w:rsidRDefault="001B57A2" w:rsidP="00531CAA">
      <w:pPr>
        <w:jc w:val="center"/>
        <w:rPr>
          <w:b/>
          <w:sz w:val="32"/>
          <w:szCs w:val="32"/>
        </w:rPr>
      </w:pPr>
      <w:r>
        <w:rPr>
          <w:b/>
          <w:sz w:val="32"/>
          <w:szCs w:val="32"/>
        </w:rPr>
        <w:t>УПУТСТВО</w:t>
      </w:r>
      <w:r w:rsidR="00531CAA" w:rsidRPr="00531CAA">
        <w:rPr>
          <w:b/>
          <w:sz w:val="32"/>
          <w:szCs w:val="32"/>
        </w:rPr>
        <w:t xml:space="preserve"> </w:t>
      </w:r>
      <w:r>
        <w:rPr>
          <w:b/>
          <w:sz w:val="32"/>
          <w:szCs w:val="32"/>
        </w:rPr>
        <w:t>ЗА</w:t>
      </w:r>
      <w:r w:rsidR="00531CAA" w:rsidRPr="00531CAA">
        <w:rPr>
          <w:b/>
          <w:sz w:val="32"/>
          <w:szCs w:val="32"/>
        </w:rPr>
        <w:t xml:space="preserve"> </w:t>
      </w:r>
      <w:r>
        <w:rPr>
          <w:b/>
          <w:sz w:val="32"/>
          <w:szCs w:val="32"/>
        </w:rPr>
        <w:t>ПОДНОСИОЦЕ</w:t>
      </w:r>
      <w:r w:rsidR="00531CAA" w:rsidRPr="00531CAA">
        <w:rPr>
          <w:b/>
          <w:sz w:val="32"/>
          <w:szCs w:val="32"/>
        </w:rPr>
        <w:t xml:space="preserve"> </w:t>
      </w:r>
      <w:r>
        <w:rPr>
          <w:b/>
          <w:sz w:val="32"/>
          <w:szCs w:val="32"/>
        </w:rPr>
        <w:t>ПРИЈАВЕ</w:t>
      </w:r>
    </w:p>
    <w:p w14:paraId="2551F22A" w14:textId="77777777" w:rsidR="00531CAA" w:rsidRDefault="00531CAA" w:rsidP="00531CAA"/>
    <w:tbl>
      <w:tblPr>
        <w:tblStyle w:val="TableGrid"/>
        <w:tblW w:w="10170" w:type="dxa"/>
        <w:tblInd w:w="-545" w:type="dxa"/>
        <w:tblLook w:val="04A0" w:firstRow="1" w:lastRow="0" w:firstColumn="1" w:lastColumn="0" w:noHBand="0" w:noVBand="1"/>
      </w:tblPr>
      <w:tblGrid>
        <w:gridCol w:w="540"/>
        <w:gridCol w:w="3240"/>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6F39F81E" w:rsidR="00A40C84" w:rsidRDefault="001B57A2" w:rsidP="00A40C84">
            <w:pPr>
              <w:jc w:val="center"/>
              <w:rPr>
                <w:b/>
                <w:bCs/>
                <w:sz w:val="24"/>
                <w:szCs w:val="24"/>
              </w:rPr>
            </w:pPr>
            <w:r>
              <w:rPr>
                <w:b/>
                <w:bCs/>
                <w:sz w:val="24"/>
                <w:szCs w:val="24"/>
              </w:rPr>
              <w:t>ТРАНСФЕР</w:t>
            </w:r>
            <w:r w:rsidR="00846476" w:rsidRPr="00846476">
              <w:rPr>
                <w:b/>
                <w:bCs/>
                <w:sz w:val="24"/>
                <w:szCs w:val="24"/>
              </w:rPr>
              <w:t xml:space="preserve"> </w:t>
            </w:r>
            <w:r>
              <w:rPr>
                <w:b/>
                <w:bCs/>
                <w:sz w:val="24"/>
                <w:szCs w:val="24"/>
              </w:rPr>
              <w:t>ЗА</w:t>
            </w:r>
            <w:r w:rsidR="00846476" w:rsidRPr="00846476">
              <w:rPr>
                <w:b/>
                <w:bCs/>
                <w:sz w:val="24"/>
                <w:szCs w:val="24"/>
              </w:rPr>
              <w:t xml:space="preserve"> </w:t>
            </w:r>
            <w:r>
              <w:rPr>
                <w:b/>
                <w:bCs/>
                <w:sz w:val="24"/>
                <w:szCs w:val="24"/>
              </w:rPr>
              <w:t>ФИНАНСИРАЊЕ</w:t>
            </w:r>
            <w:r w:rsidR="00846476" w:rsidRPr="00846476">
              <w:rPr>
                <w:b/>
                <w:bCs/>
                <w:sz w:val="24"/>
                <w:szCs w:val="24"/>
              </w:rPr>
              <w:t xml:space="preserve"> </w:t>
            </w:r>
            <w:r>
              <w:rPr>
                <w:b/>
                <w:bCs/>
                <w:sz w:val="24"/>
                <w:szCs w:val="24"/>
              </w:rPr>
              <w:t>ОБРАЗОВАЊА</w:t>
            </w:r>
          </w:p>
          <w:p w14:paraId="1390DDC9" w14:textId="3FC3CC5A" w:rsidR="00A40C84" w:rsidRPr="00A40C84" w:rsidRDefault="001B57A2" w:rsidP="00A40C84">
            <w:pPr>
              <w:jc w:val="center"/>
              <w:rPr>
                <w:b/>
                <w:bCs/>
                <w:sz w:val="24"/>
                <w:szCs w:val="24"/>
              </w:rPr>
            </w:pPr>
            <w:r>
              <w:rPr>
                <w:b/>
                <w:bCs/>
                <w:sz w:val="24"/>
                <w:szCs w:val="24"/>
              </w:rPr>
              <w:t>Стални</w:t>
            </w:r>
            <w:r w:rsidR="001420C3" w:rsidRPr="001420C3">
              <w:rPr>
                <w:b/>
                <w:bCs/>
                <w:sz w:val="24"/>
                <w:szCs w:val="24"/>
              </w:rPr>
              <w:t xml:space="preserve"> </w:t>
            </w:r>
            <w:r>
              <w:rPr>
                <w:b/>
                <w:bCs/>
                <w:sz w:val="24"/>
                <w:szCs w:val="24"/>
              </w:rPr>
              <w:t>јавни</w:t>
            </w:r>
            <w:r w:rsidR="001420C3" w:rsidRPr="001420C3">
              <w:rPr>
                <w:b/>
                <w:bCs/>
                <w:sz w:val="24"/>
                <w:szCs w:val="24"/>
              </w:rPr>
              <w:t xml:space="preserve"> </w:t>
            </w:r>
            <w:r>
              <w:rPr>
                <w:b/>
                <w:bCs/>
                <w:sz w:val="24"/>
                <w:szCs w:val="24"/>
              </w:rPr>
              <w:t>позив</w:t>
            </w:r>
            <w:r w:rsidR="001420C3" w:rsidRPr="001420C3">
              <w:rPr>
                <w:b/>
                <w:bCs/>
                <w:sz w:val="24"/>
                <w:szCs w:val="24"/>
              </w:rPr>
              <w:t xml:space="preserve"> </w:t>
            </w:r>
            <w:r>
              <w:rPr>
                <w:b/>
                <w:bCs/>
                <w:sz w:val="24"/>
                <w:szCs w:val="24"/>
              </w:rPr>
              <w:t>за</w:t>
            </w:r>
            <w:r w:rsidR="001420C3" w:rsidRPr="001420C3">
              <w:rPr>
                <w:b/>
                <w:bCs/>
                <w:sz w:val="24"/>
                <w:szCs w:val="24"/>
              </w:rPr>
              <w:t xml:space="preserve"> </w:t>
            </w:r>
            <w:r>
              <w:rPr>
                <w:b/>
                <w:bCs/>
                <w:sz w:val="24"/>
                <w:szCs w:val="24"/>
              </w:rPr>
              <w:t>подршку</w:t>
            </w:r>
            <w:r w:rsidR="001420C3" w:rsidRPr="001420C3">
              <w:rPr>
                <w:b/>
                <w:bCs/>
                <w:sz w:val="24"/>
                <w:szCs w:val="24"/>
              </w:rPr>
              <w:t xml:space="preserve"> </w:t>
            </w:r>
            <w:r>
              <w:rPr>
                <w:b/>
                <w:bCs/>
                <w:sz w:val="24"/>
                <w:szCs w:val="24"/>
              </w:rPr>
              <w:t>такмичењима</w:t>
            </w:r>
            <w:r w:rsidR="001420C3" w:rsidRPr="001420C3">
              <w:rPr>
                <w:b/>
                <w:bCs/>
                <w:sz w:val="24"/>
                <w:szCs w:val="24"/>
              </w:rPr>
              <w:t xml:space="preserve"> </w:t>
            </w:r>
            <w:r>
              <w:rPr>
                <w:b/>
                <w:bCs/>
                <w:sz w:val="24"/>
                <w:szCs w:val="24"/>
              </w:rPr>
              <w:t>и</w:t>
            </w:r>
            <w:r w:rsidR="001420C3" w:rsidRPr="001420C3">
              <w:rPr>
                <w:b/>
                <w:bCs/>
                <w:sz w:val="24"/>
                <w:szCs w:val="24"/>
              </w:rPr>
              <w:t xml:space="preserve"> </w:t>
            </w:r>
            <w:r>
              <w:rPr>
                <w:b/>
                <w:bCs/>
                <w:sz w:val="24"/>
                <w:szCs w:val="24"/>
              </w:rPr>
              <w:t>такмичарским</w:t>
            </w:r>
            <w:r w:rsidR="001420C3" w:rsidRPr="001420C3">
              <w:rPr>
                <w:b/>
                <w:bCs/>
                <w:sz w:val="24"/>
                <w:szCs w:val="24"/>
              </w:rPr>
              <w:t xml:space="preserve"> </w:t>
            </w:r>
            <w:r>
              <w:rPr>
                <w:b/>
                <w:bCs/>
                <w:sz w:val="24"/>
                <w:szCs w:val="24"/>
              </w:rPr>
              <w:t>манифестацијама</w:t>
            </w:r>
            <w:r w:rsidR="001420C3" w:rsidRPr="001420C3">
              <w:rPr>
                <w:b/>
                <w:bCs/>
                <w:sz w:val="24"/>
                <w:szCs w:val="24"/>
              </w:rPr>
              <w:t xml:space="preserve"> </w:t>
            </w:r>
            <w:r>
              <w:rPr>
                <w:b/>
                <w:bCs/>
                <w:sz w:val="24"/>
                <w:szCs w:val="24"/>
              </w:rPr>
              <w:t>у</w:t>
            </w:r>
            <w:r w:rsidR="001420C3" w:rsidRPr="001420C3">
              <w:rPr>
                <w:b/>
                <w:bCs/>
                <w:sz w:val="24"/>
                <w:szCs w:val="24"/>
              </w:rPr>
              <w:t xml:space="preserve"> </w:t>
            </w:r>
            <w:r>
              <w:rPr>
                <w:b/>
                <w:bCs/>
                <w:sz w:val="24"/>
                <w:szCs w:val="24"/>
              </w:rPr>
              <w:t>области</w:t>
            </w:r>
            <w:r w:rsidR="001420C3" w:rsidRPr="001420C3">
              <w:rPr>
                <w:b/>
                <w:bCs/>
                <w:sz w:val="24"/>
                <w:szCs w:val="24"/>
              </w:rPr>
              <w:t xml:space="preserve"> </w:t>
            </w:r>
            <w:r>
              <w:rPr>
                <w:b/>
                <w:bCs/>
                <w:sz w:val="24"/>
                <w:szCs w:val="24"/>
              </w:rPr>
              <w:t>одгоја</w:t>
            </w:r>
            <w:r w:rsidR="001420C3" w:rsidRPr="001420C3">
              <w:rPr>
                <w:b/>
                <w:bCs/>
                <w:sz w:val="24"/>
                <w:szCs w:val="24"/>
              </w:rPr>
              <w:t xml:space="preserve"> </w:t>
            </w:r>
            <w:r>
              <w:rPr>
                <w:b/>
                <w:bCs/>
                <w:sz w:val="24"/>
                <w:szCs w:val="24"/>
              </w:rPr>
              <w:t>и</w:t>
            </w:r>
            <w:r w:rsidR="001420C3" w:rsidRPr="001420C3">
              <w:rPr>
                <w:b/>
                <w:bCs/>
                <w:sz w:val="24"/>
                <w:szCs w:val="24"/>
              </w:rPr>
              <w:t xml:space="preserve"> </w:t>
            </w:r>
            <w:r>
              <w:rPr>
                <w:b/>
                <w:bCs/>
                <w:sz w:val="24"/>
                <w:szCs w:val="24"/>
              </w:rPr>
              <w:t>образовања</w:t>
            </w:r>
            <w:r w:rsidR="001420C3" w:rsidRPr="001420C3">
              <w:rPr>
                <w:b/>
                <w:bCs/>
                <w:sz w:val="24"/>
                <w:szCs w:val="24"/>
              </w:rPr>
              <w:t xml:space="preserve"> </w:t>
            </w:r>
            <w:r>
              <w:rPr>
                <w:b/>
                <w:bCs/>
                <w:sz w:val="24"/>
                <w:szCs w:val="24"/>
              </w:rPr>
              <w:t>из</w:t>
            </w:r>
            <w:r w:rsidR="001420C3" w:rsidRPr="001420C3">
              <w:rPr>
                <w:b/>
                <w:bCs/>
                <w:sz w:val="24"/>
                <w:szCs w:val="24"/>
              </w:rPr>
              <w:t xml:space="preserve"> </w:t>
            </w:r>
            <w:r>
              <w:rPr>
                <w:b/>
                <w:bCs/>
                <w:sz w:val="24"/>
                <w:szCs w:val="24"/>
              </w:rPr>
              <w:t>Буџета</w:t>
            </w:r>
            <w:r w:rsidR="001420C3" w:rsidRPr="001420C3">
              <w:rPr>
                <w:b/>
                <w:bCs/>
                <w:sz w:val="24"/>
                <w:szCs w:val="24"/>
              </w:rPr>
              <w:t xml:space="preserve"> </w:t>
            </w:r>
            <w:r>
              <w:rPr>
                <w:b/>
                <w:bCs/>
                <w:sz w:val="24"/>
                <w:szCs w:val="24"/>
              </w:rPr>
              <w:t>Федерације</w:t>
            </w:r>
            <w:r w:rsidR="001420C3" w:rsidRPr="001420C3">
              <w:rPr>
                <w:b/>
                <w:bCs/>
                <w:sz w:val="24"/>
                <w:szCs w:val="24"/>
              </w:rPr>
              <w:t xml:space="preserve"> </w:t>
            </w:r>
            <w:r>
              <w:rPr>
                <w:b/>
                <w:bCs/>
                <w:sz w:val="24"/>
                <w:szCs w:val="24"/>
              </w:rPr>
              <w:t>Босне</w:t>
            </w:r>
            <w:r w:rsidR="001420C3" w:rsidRPr="001420C3">
              <w:rPr>
                <w:b/>
                <w:bCs/>
                <w:sz w:val="24"/>
                <w:szCs w:val="24"/>
              </w:rPr>
              <w:t xml:space="preserve"> </w:t>
            </w:r>
            <w:r>
              <w:rPr>
                <w:b/>
                <w:bCs/>
                <w:sz w:val="24"/>
                <w:szCs w:val="24"/>
              </w:rPr>
              <w:t>и</w:t>
            </w:r>
            <w:r w:rsidR="001420C3" w:rsidRPr="001420C3">
              <w:rPr>
                <w:b/>
                <w:bCs/>
                <w:sz w:val="24"/>
                <w:szCs w:val="24"/>
              </w:rPr>
              <w:t xml:space="preserve"> </w:t>
            </w:r>
            <w:r>
              <w:rPr>
                <w:b/>
                <w:bCs/>
                <w:sz w:val="24"/>
                <w:szCs w:val="24"/>
              </w:rPr>
              <w:t>Херцеговине</w:t>
            </w:r>
            <w:r w:rsidR="001420C3" w:rsidRPr="001420C3">
              <w:rPr>
                <w:b/>
                <w:bCs/>
                <w:sz w:val="24"/>
                <w:szCs w:val="24"/>
              </w:rPr>
              <w:t xml:space="preserve"> </w:t>
            </w:r>
            <w:r>
              <w:rPr>
                <w:b/>
                <w:bCs/>
                <w:sz w:val="24"/>
                <w:szCs w:val="24"/>
              </w:rPr>
              <w:t>у</w:t>
            </w:r>
            <w:r w:rsidR="001420C3" w:rsidRPr="001420C3">
              <w:rPr>
                <w:b/>
                <w:bCs/>
                <w:sz w:val="24"/>
                <w:szCs w:val="24"/>
              </w:rPr>
              <w:t xml:space="preserve"> 2024. </w:t>
            </w:r>
            <w:r>
              <w:rPr>
                <w:b/>
                <w:bCs/>
                <w:sz w:val="24"/>
                <w:szCs w:val="24"/>
              </w:rPr>
              <w:t>години</w:t>
            </w:r>
            <w:r w:rsidR="001420C3" w:rsidRPr="001420C3">
              <w:rPr>
                <w:b/>
                <w:bCs/>
                <w:sz w:val="24"/>
                <w:szCs w:val="24"/>
              </w:rPr>
              <w:t>.</w:t>
            </w:r>
          </w:p>
        </w:tc>
      </w:tr>
      <w:tr w:rsidR="0016034B" w14:paraId="30D69F12" w14:textId="77777777" w:rsidTr="008D7232">
        <w:trPr>
          <w:trHeight w:val="672"/>
        </w:trPr>
        <w:tc>
          <w:tcPr>
            <w:tcW w:w="540" w:type="dxa"/>
            <w:vAlign w:val="center"/>
          </w:tcPr>
          <w:p w14:paraId="2EC032FD" w14:textId="34A14A95" w:rsidR="0016034B" w:rsidRDefault="0016034B" w:rsidP="0016034B">
            <w:r>
              <w:t>1</w:t>
            </w:r>
          </w:p>
        </w:tc>
        <w:tc>
          <w:tcPr>
            <w:tcW w:w="3240" w:type="dxa"/>
            <w:vAlign w:val="center"/>
          </w:tcPr>
          <w:p w14:paraId="1E70DFBD" w14:textId="3A4A4C26" w:rsidR="0016034B" w:rsidRPr="00A90B26" w:rsidRDefault="00A90B26" w:rsidP="0016034B">
            <w:r w:rsidRPr="00A90B26">
              <w:t>Опис проблема у одређеној области која је предмет финансирања:</w:t>
            </w:r>
          </w:p>
        </w:tc>
        <w:tc>
          <w:tcPr>
            <w:tcW w:w="6390" w:type="dxa"/>
            <w:vAlign w:val="center"/>
          </w:tcPr>
          <w:p w14:paraId="6B44289A" w14:textId="40F6F43C" w:rsidR="0016034B" w:rsidRPr="00A90B26" w:rsidRDefault="00A90B26" w:rsidP="0016034B">
            <w:r w:rsidRPr="00A90B26">
              <w:t>Унапређивање образовног система у Федерацији БиХ</w:t>
            </w:r>
          </w:p>
        </w:tc>
      </w:tr>
      <w:tr w:rsidR="0016034B" w14:paraId="2D955C0B" w14:textId="77777777" w:rsidTr="008D7232">
        <w:trPr>
          <w:trHeight w:val="672"/>
        </w:trPr>
        <w:tc>
          <w:tcPr>
            <w:tcW w:w="540" w:type="dxa"/>
            <w:vAlign w:val="center"/>
          </w:tcPr>
          <w:p w14:paraId="086D210D" w14:textId="3A2B4BD7" w:rsidR="0016034B" w:rsidRDefault="0016034B" w:rsidP="0016034B">
            <w:r>
              <w:t>2</w:t>
            </w:r>
          </w:p>
        </w:tc>
        <w:tc>
          <w:tcPr>
            <w:tcW w:w="3240" w:type="dxa"/>
            <w:vAlign w:val="center"/>
          </w:tcPr>
          <w:p w14:paraId="6D35C93F" w14:textId="09AEE6B7" w:rsidR="0016034B" w:rsidRPr="00102F11" w:rsidRDefault="0016034B" w:rsidP="0016034B">
            <w:pPr>
              <w:rPr>
                <w:b/>
                <w:bCs/>
              </w:rPr>
            </w:pPr>
            <w:r>
              <w:t>Захтјев</w:t>
            </w:r>
            <w:r w:rsidRPr="008D7232">
              <w:t xml:space="preserve"> </w:t>
            </w:r>
            <w:r>
              <w:t>за</w:t>
            </w:r>
            <w:r w:rsidRPr="008D7232">
              <w:t xml:space="preserve"> </w:t>
            </w:r>
            <w:r>
              <w:t>финансирање</w:t>
            </w:r>
            <w:r w:rsidRPr="008D7232">
              <w:t>/</w:t>
            </w:r>
            <w:r>
              <w:t>суфинансирање</w:t>
            </w:r>
            <w:r w:rsidRPr="008D7232">
              <w:t xml:space="preserve"> </w:t>
            </w:r>
            <w:r>
              <w:t>пројекта</w:t>
            </w:r>
            <w:r w:rsidRPr="008D7232">
              <w:t xml:space="preserve"> – </w:t>
            </w:r>
            <w:r>
              <w:t>образац</w:t>
            </w:r>
            <w:r w:rsidRPr="008D7232">
              <w:t xml:space="preserve"> </w:t>
            </w:r>
            <w:r>
              <w:t>Захтјева</w:t>
            </w:r>
          </w:p>
        </w:tc>
        <w:tc>
          <w:tcPr>
            <w:tcW w:w="6390" w:type="dxa"/>
            <w:vAlign w:val="center"/>
          </w:tcPr>
          <w:p w14:paraId="43765485" w14:textId="0ED5E0F1" w:rsidR="0016034B" w:rsidRDefault="0016034B" w:rsidP="0016034B">
            <w:r>
              <w:t>Захтјев</w:t>
            </w:r>
            <w:r w:rsidRPr="00846476">
              <w:t xml:space="preserve"> </w:t>
            </w:r>
            <w:r>
              <w:t>за</w:t>
            </w:r>
            <w:r w:rsidRPr="00846476">
              <w:t xml:space="preserve"> </w:t>
            </w:r>
            <w:r>
              <w:t>финансирање</w:t>
            </w:r>
            <w:r w:rsidRPr="00846476">
              <w:t>/</w:t>
            </w:r>
            <w:r>
              <w:t>суфинансирање</w:t>
            </w:r>
            <w:r w:rsidRPr="00846476">
              <w:t xml:space="preserve"> </w:t>
            </w:r>
            <w:r>
              <w:t>пројекта</w:t>
            </w:r>
            <w:r w:rsidRPr="00846476">
              <w:t xml:space="preserve"> </w:t>
            </w:r>
            <w:r>
              <w:t>треба у потпуности</w:t>
            </w:r>
            <w:r w:rsidRPr="00846476">
              <w:t xml:space="preserve"> </w:t>
            </w:r>
            <w:r>
              <w:t>попунити</w:t>
            </w:r>
            <w:r w:rsidRPr="00846476">
              <w:t xml:space="preserve"> </w:t>
            </w:r>
            <w:r>
              <w:t>на</w:t>
            </w:r>
            <w:r w:rsidRPr="00846476">
              <w:t xml:space="preserve"> </w:t>
            </w:r>
            <w:r>
              <w:t>обрасцу Захтјева. Захтјев треба обавезно потписати овлаштена особа за заступање, те овјерити исти печатом подносиоца захтјева уколико је подносилац захтјева установа, удружење или др. организација. Уколико је подносилац захтјева физичко лице, не треба стављати печат, него само потпис. Ставити датум подношења пријаве на одговарајуће мјесто у обрасцу Захтјева.</w:t>
            </w:r>
            <w:r w:rsidRPr="00846476">
              <w:t xml:space="preserve"> </w:t>
            </w:r>
          </w:p>
        </w:tc>
      </w:tr>
      <w:tr w:rsidR="0016034B" w14:paraId="14603E34" w14:textId="77777777" w:rsidTr="008D7232">
        <w:trPr>
          <w:trHeight w:val="1330"/>
        </w:trPr>
        <w:tc>
          <w:tcPr>
            <w:tcW w:w="540" w:type="dxa"/>
            <w:vAlign w:val="center"/>
          </w:tcPr>
          <w:p w14:paraId="55F8D0C9" w14:textId="3FA1A60C" w:rsidR="0016034B" w:rsidRDefault="0016034B" w:rsidP="0016034B">
            <w:r>
              <w:t>3</w:t>
            </w:r>
          </w:p>
        </w:tc>
        <w:tc>
          <w:tcPr>
            <w:tcW w:w="3240" w:type="dxa"/>
            <w:vAlign w:val="center"/>
          </w:tcPr>
          <w:p w14:paraId="3DC1635E" w14:textId="12D4384E" w:rsidR="0016034B" w:rsidRPr="00F03B24" w:rsidRDefault="0016034B" w:rsidP="0016034B">
            <w:r>
              <w:t>Прилози</w:t>
            </w:r>
            <w:r w:rsidRPr="00F03B24">
              <w:t xml:space="preserve"> </w:t>
            </w:r>
            <w:r>
              <w:t>уз</w:t>
            </w:r>
            <w:r w:rsidRPr="00F03B24">
              <w:t xml:space="preserve"> </w:t>
            </w:r>
            <w:r>
              <w:t>образац</w:t>
            </w:r>
            <w:r w:rsidRPr="00F03B24">
              <w:t xml:space="preserve"> </w:t>
            </w:r>
            <w:r>
              <w:t>Захтјева</w:t>
            </w:r>
          </w:p>
        </w:tc>
        <w:tc>
          <w:tcPr>
            <w:tcW w:w="6390" w:type="dxa"/>
            <w:vAlign w:val="center"/>
          </w:tcPr>
          <w:p w14:paraId="1CA1C6AF" w14:textId="50D9FEEA" w:rsidR="0016034B" w:rsidRDefault="0016034B" w:rsidP="0016034B">
            <w:r>
              <w:t>Уз попуњени образац Захтјева неопходно је доставити сљедеће прилоге:</w:t>
            </w:r>
          </w:p>
          <w:p w14:paraId="1A2B38F0" w14:textId="37D0C2EA" w:rsidR="0016034B" w:rsidRDefault="0016034B" w:rsidP="0016034B">
            <w:pPr>
              <w:pStyle w:val="ListParagraph"/>
              <w:numPr>
                <w:ilvl w:val="0"/>
                <w:numId w:val="3"/>
              </w:numPr>
            </w:pPr>
            <w:r>
              <w:t>Детаљан опис пројекта за који се тражи (су)финансирање;</w:t>
            </w:r>
          </w:p>
          <w:p w14:paraId="47D06F3B" w14:textId="49F4D92D" w:rsidR="0016034B" w:rsidRDefault="0016034B" w:rsidP="0016034B">
            <w:pPr>
              <w:pStyle w:val="ListParagraph"/>
              <w:numPr>
                <w:ilvl w:val="0"/>
                <w:numId w:val="3"/>
              </w:numPr>
            </w:pPr>
            <w:r>
              <w:t>Детаљно разрађен финансијски план пројекта (буџет);</w:t>
            </w:r>
          </w:p>
          <w:p w14:paraId="0288DA22" w14:textId="0447D023" w:rsidR="0016034B" w:rsidRDefault="0016034B" w:rsidP="0016034B">
            <w:pPr>
              <w:pStyle w:val="ListParagraph"/>
              <w:numPr>
                <w:ilvl w:val="0"/>
                <w:numId w:val="3"/>
              </w:numPr>
            </w:pPr>
            <w:r>
              <w:t>Документација која је наведена као обавезна у обрасцу Захтјева;</w:t>
            </w:r>
          </w:p>
          <w:p w14:paraId="3F0DED95" w14:textId="2C299B75" w:rsidR="0016034B" w:rsidRDefault="0016034B" w:rsidP="0016034B">
            <w:pPr>
              <w:pStyle w:val="ListParagraph"/>
              <w:numPr>
                <w:ilvl w:val="0"/>
                <w:numId w:val="3"/>
              </w:numPr>
            </w:pPr>
            <w:r>
              <w:t>Друга</w:t>
            </w:r>
            <w:r w:rsidRPr="00F03B24">
              <w:t xml:space="preserve"> </w:t>
            </w:r>
            <w:r>
              <w:t>додатна</w:t>
            </w:r>
            <w:r w:rsidRPr="00F03B24">
              <w:t xml:space="preserve"> </w:t>
            </w:r>
            <w:r>
              <w:t>документација</w:t>
            </w:r>
            <w:r w:rsidRPr="00F03B24">
              <w:t xml:space="preserve"> </w:t>
            </w:r>
            <w:r>
              <w:t>којом</w:t>
            </w:r>
            <w:r w:rsidRPr="00F03B24">
              <w:t xml:space="preserve"> </w:t>
            </w:r>
            <w:r>
              <w:t>доказује</w:t>
            </w:r>
            <w:r w:rsidRPr="00F03B24">
              <w:t xml:space="preserve"> </w:t>
            </w:r>
            <w:r>
              <w:t>да</w:t>
            </w:r>
            <w:r w:rsidRPr="00F03B24">
              <w:t xml:space="preserve"> </w:t>
            </w:r>
            <w:r>
              <w:t>испуњава</w:t>
            </w:r>
            <w:r w:rsidRPr="00F03B24">
              <w:t xml:space="preserve"> </w:t>
            </w:r>
            <w:r>
              <w:t>прописане</w:t>
            </w:r>
            <w:r w:rsidRPr="00F03B24">
              <w:t xml:space="preserve"> </w:t>
            </w:r>
            <w:r>
              <w:t>критерије</w:t>
            </w:r>
            <w:r w:rsidRPr="00F03B24">
              <w:t xml:space="preserve"> </w:t>
            </w:r>
            <w:r>
              <w:t>из</w:t>
            </w:r>
            <w:r w:rsidRPr="00F03B24">
              <w:t xml:space="preserve"> </w:t>
            </w:r>
            <w:r>
              <w:t>Јавног</w:t>
            </w:r>
            <w:r w:rsidRPr="00F03B24">
              <w:t xml:space="preserve"> </w:t>
            </w:r>
            <w:r>
              <w:t>позива.</w:t>
            </w:r>
          </w:p>
        </w:tc>
      </w:tr>
      <w:tr w:rsidR="0016034B" w14:paraId="7055EB2B" w14:textId="77777777" w:rsidTr="008D7232">
        <w:trPr>
          <w:trHeight w:val="1330"/>
        </w:trPr>
        <w:tc>
          <w:tcPr>
            <w:tcW w:w="540" w:type="dxa"/>
            <w:vAlign w:val="center"/>
          </w:tcPr>
          <w:p w14:paraId="3225ACF2" w14:textId="433C3D6F" w:rsidR="0016034B" w:rsidRDefault="0016034B" w:rsidP="0016034B">
            <w:r>
              <w:t>4</w:t>
            </w:r>
          </w:p>
        </w:tc>
        <w:tc>
          <w:tcPr>
            <w:tcW w:w="3240" w:type="dxa"/>
            <w:vAlign w:val="center"/>
          </w:tcPr>
          <w:p w14:paraId="6A688FA3" w14:textId="3563821F" w:rsidR="0016034B" w:rsidRDefault="0016034B" w:rsidP="0016034B">
            <w:r>
              <w:t>Начин подношења пријаве/захтјева на Јавни позив</w:t>
            </w:r>
          </w:p>
        </w:tc>
        <w:tc>
          <w:tcPr>
            <w:tcW w:w="6390" w:type="dxa"/>
            <w:vAlign w:val="center"/>
          </w:tcPr>
          <w:p w14:paraId="5753A718" w14:textId="65DA54B9" w:rsidR="0016034B" w:rsidRDefault="0016034B" w:rsidP="0016034B">
            <w:r>
              <w:t>Захтјев са комплетном документацијом обавезно се подноси у истој коверти у 2 одвојена примјерка (оригинал/овјерена копија и копија) путем поште на адресу:</w:t>
            </w:r>
          </w:p>
          <w:p w14:paraId="4EE972A3" w14:textId="06D6E5F3" w:rsidR="0016034B" w:rsidRDefault="0016034B" w:rsidP="0016034B">
            <w:r>
              <w:t xml:space="preserve"> ФЕДЕРАЛНО МИНИСТАРСТВО ОБРАЗОВАЊА И НАУКЕ</w:t>
            </w:r>
          </w:p>
          <w:p w14:paraId="6CDFA690" w14:textId="36722927" w:rsidR="0016034B" w:rsidRDefault="0016034B" w:rsidP="0016034B">
            <w:r>
              <w:t>Др. Анте Старчевића бб (Хотел „Еро“)</w:t>
            </w:r>
          </w:p>
          <w:p w14:paraId="5B05C9DD" w14:textId="511377E6" w:rsidR="0016034B" w:rsidRDefault="0016034B" w:rsidP="0016034B">
            <w:r>
              <w:t>88000 Мостар</w:t>
            </w:r>
          </w:p>
          <w:p w14:paraId="40318030" w14:textId="71496027" w:rsidR="0016034B" w:rsidRDefault="0016034B" w:rsidP="0016034B">
            <w:r>
              <w:t>Са напоменом: „за СТАЛНИ ЈАВНИ ПОЗИВ</w:t>
            </w:r>
          </w:p>
          <w:p w14:paraId="485B443E" w14:textId="572FC970" w:rsidR="0016034B" w:rsidRDefault="0016034B" w:rsidP="0016034B">
            <w:r>
              <w:t>за подршку такмичењима и такмичарским манифестацијама у области одгоја и образовања из Буџета Федерације Босне и Херцеговине у 2024. години – не отварати“</w:t>
            </w:r>
          </w:p>
        </w:tc>
      </w:tr>
      <w:tr w:rsidR="0016034B" w14:paraId="61866F3A" w14:textId="77777777" w:rsidTr="008D7232">
        <w:trPr>
          <w:trHeight w:val="1330"/>
        </w:trPr>
        <w:tc>
          <w:tcPr>
            <w:tcW w:w="540" w:type="dxa"/>
            <w:vAlign w:val="center"/>
          </w:tcPr>
          <w:p w14:paraId="7E5C7198" w14:textId="790D98A6" w:rsidR="0016034B" w:rsidRDefault="0016034B" w:rsidP="0016034B">
            <w:r>
              <w:t>5</w:t>
            </w:r>
          </w:p>
        </w:tc>
        <w:tc>
          <w:tcPr>
            <w:tcW w:w="3240" w:type="dxa"/>
            <w:vAlign w:val="center"/>
          </w:tcPr>
          <w:p w14:paraId="3B7ED087" w14:textId="17A6DBA6" w:rsidR="0016034B" w:rsidRDefault="0016034B" w:rsidP="0016034B">
            <w:r>
              <w:t>Пријаве које неће бити разматране/подржане:</w:t>
            </w:r>
          </w:p>
        </w:tc>
        <w:tc>
          <w:tcPr>
            <w:tcW w:w="6390" w:type="dxa"/>
            <w:vAlign w:val="center"/>
          </w:tcPr>
          <w:p w14:paraId="12B97F93" w14:textId="68A8ED70" w:rsidR="0016034B" w:rsidRPr="002C27AA" w:rsidRDefault="0016034B" w:rsidP="0016034B">
            <w:pPr>
              <w:pStyle w:val="ListParagraph"/>
              <w:numPr>
                <w:ilvl w:val="0"/>
                <w:numId w:val="4"/>
              </w:numPr>
            </w:pPr>
            <w:r>
              <w:t>Непотпуне</w:t>
            </w:r>
            <w:r w:rsidRPr="008D7232">
              <w:t xml:space="preserve"> </w:t>
            </w:r>
            <w:r>
              <w:t>и</w:t>
            </w:r>
            <w:r w:rsidRPr="008D7232">
              <w:t xml:space="preserve"> </w:t>
            </w:r>
            <w:r>
              <w:t>пријаве</w:t>
            </w:r>
            <w:r w:rsidRPr="008D7232">
              <w:t xml:space="preserve"> </w:t>
            </w:r>
            <w:r>
              <w:t>које</w:t>
            </w:r>
            <w:r w:rsidRPr="008D7232">
              <w:t xml:space="preserve"> </w:t>
            </w:r>
            <w:r>
              <w:t>не</w:t>
            </w:r>
            <w:r w:rsidRPr="008D7232">
              <w:t xml:space="preserve"> </w:t>
            </w:r>
            <w:r>
              <w:t>испуњавају</w:t>
            </w:r>
            <w:r w:rsidRPr="008D7232">
              <w:t xml:space="preserve"> </w:t>
            </w:r>
            <w:r>
              <w:t>услове</w:t>
            </w:r>
            <w:r w:rsidRPr="008D7232">
              <w:t xml:space="preserve"> </w:t>
            </w:r>
            <w:r>
              <w:t>и</w:t>
            </w:r>
            <w:r w:rsidRPr="008D7232">
              <w:t xml:space="preserve"> </w:t>
            </w:r>
            <w:r>
              <w:t>критерије</w:t>
            </w:r>
            <w:r w:rsidRPr="008D7232">
              <w:t xml:space="preserve"> </w:t>
            </w:r>
            <w:r>
              <w:t>програма</w:t>
            </w:r>
            <w:r w:rsidRPr="008D7232">
              <w:t xml:space="preserve"> </w:t>
            </w:r>
            <w:r>
              <w:t>овог</w:t>
            </w:r>
            <w:r w:rsidRPr="008D7232">
              <w:t xml:space="preserve"> </w:t>
            </w:r>
            <w:r>
              <w:t>јавног</w:t>
            </w:r>
            <w:r w:rsidRPr="008D7232">
              <w:t xml:space="preserve"> </w:t>
            </w:r>
            <w:r>
              <w:t>позива</w:t>
            </w:r>
            <w:r w:rsidRPr="008D7232">
              <w:t>;</w:t>
            </w:r>
          </w:p>
          <w:p w14:paraId="0B128BB6" w14:textId="1FB79ABC" w:rsidR="0016034B" w:rsidRDefault="0016034B" w:rsidP="0016034B">
            <w:pPr>
              <w:pStyle w:val="ListParagraph"/>
              <w:numPr>
                <w:ilvl w:val="0"/>
                <w:numId w:val="4"/>
              </w:numPr>
            </w:pPr>
            <w:r>
              <w:t>Пријаве</w:t>
            </w:r>
            <w:r w:rsidRPr="008D7232">
              <w:t xml:space="preserve"> </w:t>
            </w:r>
            <w:r>
              <w:t>подносилаца</w:t>
            </w:r>
            <w:r w:rsidRPr="008D7232">
              <w:t xml:space="preserve"> </w:t>
            </w:r>
            <w:r>
              <w:t>захтјева</w:t>
            </w:r>
            <w:r w:rsidRPr="008D7232">
              <w:t xml:space="preserve"> </w:t>
            </w:r>
            <w:r>
              <w:t>који</w:t>
            </w:r>
            <w:r w:rsidRPr="008D7232">
              <w:t xml:space="preserve"> </w:t>
            </w:r>
            <w:r>
              <w:t>су</w:t>
            </w:r>
            <w:r w:rsidRPr="008D7232">
              <w:t xml:space="preserve"> </w:t>
            </w:r>
            <w:r>
              <w:t>у</w:t>
            </w:r>
            <w:r w:rsidRPr="008D7232">
              <w:t xml:space="preserve"> </w:t>
            </w:r>
            <w:r>
              <w:t>претходном</w:t>
            </w:r>
            <w:r w:rsidRPr="008D7232">
              <w:t xml:space="preserve"> </w:t>
            </w:r>
            <w:r>
              <w:t>периоду</w:t>
            </w:r>
            <w:r w:rsidRPr="008D7232">
              <w:t xml:space="preserve"> </w:t>
            </w:r>
            <w:r>
              <w:t>добили</w:t>
            </w:r>
            <w:r w:rsidRPr="008D7232">
              <w:t xml:space="preserve"> </w:t>
            </w:r>
            <w:r>
              <w:t>средства</w:t>
            </w:r>
            <w:r w:rsidRPr="008D7232">
              <w:t xml:space="preserve"> </w:t>
            </w:r>
            <w:r>
              <w:t>од</w:t>
            </w:r>
            <w:r w:rsidRPr="008D7232">
              <w:t xml:space="preserve"> </w:t>
            </w:r>
            <w:r>
              <w:t>Федералног</w:t>
            </w:r>
            <w:r w:rsidRPr="008D7232">
              <w:t xml:space="preserve"> </w:t>
            </w:r>
            <w:r>
              <w:t>министарства</w:t>
            </w:r>
            <w:r w:rsidRPr="008D7232">
              <w:t xml:space="preserve"> </w:t>
            </w:r>
            <w:r>
              <w:t>образовања</w:t>
            </w:r>
            <w:r w:rsidRPr="008D7232">
              <w:t xml:space="preserve"> </w:t>
            </w:r>
            <w:r>
              <w:t>и</w:t>
            </w:r>
            <w:r w:rsidRPr="008D7232">
              <w:t xml:space="preserve"> </w:t>
            </w:r>
            <w:r>
              <w:t>науке</w:t>
            </w:r>
            <w:r w:rsidRPr="008D7232">
              <w:t xml:space="preserve">, </w:t>
            </w:r>
            <w:r>
              <w:t>а</w:t>
            </w:r>
            <w:r w:rsidRPr="008D7232">
              <w:t xml:space="preserve"> </w:t>
            </w:r>
            <w:r>
              <w:t>нису</w:t>
            </w:r>
            <w:r w:rsidRPr="008D7232">
              <w:t xml:space="preserve"> </w:t>
            </w:r>
            <w:r>
              <w:t>доставили</w:t>
            </w:r>
            <w:r w:rsidRPr="008D7232">
              <w:t xml:space="preserve"> </w:t>
            </w:r>
            <w:r>
              <w:t>Извјештај</w:t>
            </w:r>
            <w:r w:rsidRPr="008D7232">
              <w:t xml:space="preserve"> </w:t>
            </w:r>
            <w:r>
              <w:t>о</w:t>
            </w:r>
            <w:r w:rsidRPr="008D7232">
              <w:t xml:space="preserve"> </w:t>
            </w:r>
            <w:r>
              <w:t>намјенском</w:t>
            </w:r>
            <w:r w:rsidRPr="008D7232">
              <w:t xml:space="preserve"> </w:t>
            </w:r>
            <w:r>
              <w:t>утрошку</w:t>
            </w:r>
            <w:r w:rsidRPr="008D7232">
              <w:t xml:space="preserve"> </w:t>
            </w:r>
            <w:r>
              <w:t>додијељених</w:t>
            </w:r>
            <w:r w:rsidRPr="008D7232">
              <w:t xml:space="preserve"> </w:t>
            </w:r>
            <w:r>
              <w:t>средстава</w:t>
            </w:r>
            <w:r w:rsidRPr="008D7232">
              <w:t xml:space="preserve"> </w:t>
            </w:r>
            <w:r>
              <w:t>и</w:t>
            </w:r>
            <w:r w:rsidRPr="008D7232">
              <w:t xml:space="preserve"> </w:t>
            </w:r>
            <w:r>
              <w:t>пријаве</w:t>
            </w:r>
            <w:r w:rsidRPr="008D7232">
              <w:t xml:space="preserve"> </w:t>
            </w:r>
            <w:r>
              <w:t>подносилаца</w:t>
            </w:r>
            <w:r w:rsidRPr="008D7232">
              <w:t xml:space="preserve"> </w:t>
            </w:r>
            <w:r>
              <w:t>захтјева</w:t>
            </w:r>
            <w:r w:rsidRPr="008D7232">
              <w:t xml:space="preserve"> </w:t>
            </w:r>
            <w:r>
              <w:t>који</w:t>
            </w:r>
            <w:r w:rsidRPr="008D7232">
              <w:t xml:space="preserve"> </w:t>
            </w:r>
            <w:r>
              <w:t>су</w:t>
            </w:r>
            <w:r w:rsidRPr="008D7232">
              <w:t xml:space="preserve"> </w:t>
            </w:r>
            <w:r>
              <w:t>са</w:t>
            </w:r>
            <w:r w:rsidRPr="008D7232">
              <w:t xml:space="preserve"> </w:t>
            </w:r>
            <w:r>
              <w:t>закашњењем</w:t>
            </w:r>
            <w:r w:rsidRPr="008D7232">
              <w:t xml:space="preserve"> </w:t>
            </w:r>
            <w:r>
              <w:t>доставили</w:t>
            </w:r>
            <w:r w:rsidRPr="008D7232">
              <w:t xml:space="preserve"> </w:t>
            </w:r>
            <w:r>
              <w:t>Извјештај</w:t>
            </w:r>
            <w:r w:rsidRPr="008D7232">
              <w:t xml:space="preserve"> </w:t>
            </w:r>
            <w:r>
              <w:t>о</w:t>
            </w:r>
            <w:r w:rsidRPr="008D7232">
              <w:t xml:space="preserve"> </w:t>
            </w:r>
            <w:r>
              <w:t>намјенском</w:t>
            </w:r>
            <w:r w:rsidRPr="008D7232">
              <w:t xml:space="preserve"> </w:t>
            </w:r>
            <w:r>
              <w:t>утрошку</w:t>
            </w:r>
            <w:r w:rsidRPr="008D7232">
              <w:t xml:space="preserve"> </w:t>
            </w:r>
            <w:r>
              <w:t>додијељених</w:t>
            </w:r>
            <w:r w:rsidRPr="008D7232">
              <w:t xml:space="preserve"> </w:t>
            </w:r>
            <w:r>
              <w:t>средстава</w:t>
            </w:r>
            <w:r w:rsidRPr="008D7232">
              <w:t xml:space="preserve">, </w:t>
            </w:r>
            <w:r>
              <w:t>неће</w:t>
            </w:r>
            <w:r w:rsidRPr="008D7232">
              <w:t xml:space="preserve"> </w:t>
            </w:r>
            <w:r>
              <w:t>бити</w:t>
            </w:r>
            <w:r w:rsidRPr="008D7232">
              <w:t xml:space="preserve"> </w:t>
            </w:r>
            <w:r>
              <w:t>разматране</w:t>
            </w:r>
            <w:r w:rsidRPr="008D7232">
              <w:t>/</w:t>
            </w:r>
            <w:r>
              <w:t>подржане.</w:t>
            </w:r>
          </w:p>
        </w:tc>
      </w:tr>
      <w:tr w:rsidR="0016034B" w14:paraId="0C6F348C" w14:textId="77777777" w:rsidTr="008D7232">
        <w:trPr>
          <w:trHeight w:val="2675"/>
        </w:trPr>
        <w:tc>
          <w:tcPr>
            <w:tcW w:w="540" w:type="dxa"/>
            <w:vAlign w:val="center"/>
          </w:tcPr>
          <w:p w14:paraId="4B3F18E5" w14:textId="19A60388" w:rsidR="0016034B" w:rsidRDefault="0016034B" w:rsidP="0016034B">
            <w:r>
              <w:lastRenderedPageBreak/>
              <w:t>6</w:t>
            </w:r>
          </w:p>
        </w:tc>
        <w:tc>
          <w:tcPr>
            <w:tcW w:w="3240" w:type="dxa"/>
            <w:vAlign w:val="center"/>
          </w:tcPr>
          <w:p w14:paraId="1007B6B9" w14:textId="63FD2A57" w:rsidR="0016034B" w:rsidRPr="00102F11" w:rsidRDefault="0016034B" w:rsidP="0016034B">
            <w:pPr>
              <w:rPr>
                <w:b/>
                <w:bCs/>
              </w:rPr>
            </w:pPr>
            <w:r>
              <w:t>Укупна</w:t>
            </w:r>
            <w:r w:rsidRPr="008D7232">
              <w:t xml:space="preserve"> </w:t>
            </w:r>
            <w:r>
              <w:t>вриједност програма</w:t>
            </w:r>
            <w:r w:rsidRPr="008D7232">
              <w:t xml:space="preserve"> </w:t>
            </w:r>
            <w:r>
              <w:t>и</w:t>
            </w:r>
            <w:r w:rsidRPr="008D7232">
              <w:t xml:space="preserve"> </w:t>
            </w:r>
            <w:r>
              <w:t>највиши</w:t>
            </w:r>
            <w:r w:rsidRPr="008D7232">
              <w:t xml:space="preserve"> </w:t>
            </w:r>
            <w:r>
              <w:t>финансијски</w:t>
            </w:r>
            <w:r w:rsidRPr="008D7232">
              <w:t xml:space="preserve"> </w:t>
            </w:r>
            <w:r>
              <w:t>износ</w:t>
            </w:r>
            <w:r w:rsidRPr="008D7232">
              <w:t xml:space="preserve"> </w:t>
            </w:r>
            <w:r>
              <w:t>који</w:t>
            </w:r>
            <w:r w:rsidRPr="008D7232">
              <w:t xml:space="preserve"> </w:t>
            </w:r>
            <w:r>
              <w:t>може</w:t>
            </w:r>
            <w:r w:rsidRPr="008D7232">
              <w:t xml:space="preserve"> </w:t>
            </w:r>
            <w:r>
              <w:t>бити</w:t>
            </w:r>
            <w:r w:rsidRPr="008D7232">
              <w:t xml:space="preserve"> </w:t>
            </w:r>
            <w:r>
              <w:t>додијељен</w:t>
            </w:r>
            <w:r w:rsidRPr="008D7232">
              <w:t xml:space="preserve"> </w:t>
            </w:r>
            <w:r>
              <w:t>за</w:t>
            </w:r>
            <w:r w:rsidRPr="008D7232">
              <w:t xml:space="preserve"> </w:t>
            </w:r>
            <w:r>
              <w:t>поједини</w:t>
            </w:r>
            <w:r w:rsidRPr="008D7232">
              <w:t xml:space="preserve"> </w:t>
            </w:r>
            <w:r>
              <w:t>пројект</w:t>
            </w:r>
            <w:r w:rsidRPr="008D7232">
              <w:t xml:space="preserve"> </w:t>
            </w:r>
          </w:p>
        </w:tc>
        <w:tc>
          <w:tcPr>
            <w:tcW w:w="6390" w:type="dxa"/>
            <w:vAlign w:val="center"/>
          </w:tcPr>
          <w:p w14:paraId="352F2919" w14:textId="77777777" w:rsidR="0016034B" w:rsidRDefault="0016034B" w:rsidP="0016034B"/>
          <w:p w14:paraId="0DF1B52E" w14:textId="77777777" w:rsidR="0016034B" w:rsidRDefault="0016034B" w:rsidP="0016034B"/>
          <w:p w14:paraId="30897FE9" w14:textId="0B6771AB" w:rsidR="0016034B" w:rsidRDefault="0016034B" w:rsidP="0016034B">
            <w:r>
              <w:t xml:space="preserve">Укупна вриједност програма: </w:t>
            </w:r>
            <w:r w:rsidRPr="004006FB">
              <w:rPr>
                <w:rFonts w:ascii="Arial" w:hAnsi="Arial" w:cs="Arial"/>
                <w:szCs w:val="24"/>
                <w:lang w:val="hr-BA"/>
              </w:rPr>
              <w:t>200.000,00</w:t>
            </w:r>
            <w:r>
              <w:rPr>
                <w:rFonts w:ascii="Arial" w:hAnsi="Arial" w:cs="Arial"/>
                <w:szCs w:val="24"/>
                <w:lang w:val="hr-BA"/>
              </w:rPr>
              <w:t xml:space="preserve"> КМ</w:t>
            </w:r>
          </w:p>
          <w:p w14:paraId="3C1868EC" w14:textId="0F71A4E0" w:rsidR="0016034B" w:rsidRDefault="0016034B" w:rsidP="0016034B">
            <w:r>
              <w:t xml:space="preserve">Највиши износ по пројекту: </w:t>
            </w:r>
            <w:r w:rsidRPr="004006FB">
              <w:rPr>
                <w:rFonts w:ascii="Arial" w:hAnsi="Arial" w:cs="Arial"/>
                <w:szCs w:val="24"/>
                <w:lang w:val="hr-BA"/>
              </w:rPr>
              <w:t xml:space="preserve">7.000,00 </w:t>
            </w:r>
            <w:r>
              <w:rPr>
                <w:rFonts w:ascii="Arial" w:hAnsi="Arial" w:cs="Arial"/>
                <w:szCs w:val="24"/>
                <w:lang w:val="hr-BA"/>
              </w:rPr>
              <w:t>КМ</w:t>
            </w:r>
          </w:p>
          <w:p w14:paraId="114D1030" w14:textId="77777777" w:rsidR="0016034B" w:rsidRDefault="0016034B" w:rsidP="0016034B">
            <w:pPr>
              <w:pStyle w:val="ListParagraph"/>
            </w:pPr>
          </w:p>
          <w:p w14:paraId="12F998FF" w14:textId="6DA7F598" w:rsidR="0016034B" w:rsidRDefault="0016034B" w:rsidP="0016034B">
            <w:pPr>
              <w:pStyle w:val="ListParagraph"/>
            </w:pPr>
          </w:p>
        </w:tc>
      </w:tr>
      <w:tr w:rsidR="0016034B" w14:paraId="1C4620D7" w14:textId="77777777" w:rsidTr="008D7232">
        <w:trPr>
          <w:trHeight w:val="672"/>
        </w:trPr>
        <w:tc>
          <w:tcPr>
            <w:tcW w:w="540" w:type="dxa"/>
            <w:vAlign w:val="center"/>
          </w:tcPr>
          <w:p w14:paraId="213FA465" w14:textId="10E22930" w:rsidR="0016034B" w:rsidRPr="0003560D" w:rsidRDefault="0016034B" w:rsidP="0016034B">
            <w:r w:rsidRPr="0003560D">
              <w:t>7</w:t>
            </w:r>
          </w:p>
        </w:tc>
        <w:tc>
          <w:tcPr>
            <w:tcW w:w="3240" w:type="dxa"/>
            <w:vAlign w:val="center"/>
          </w:tcPr>
          <w:p w14:paraId="0C3BA00D" w14:textId="5BC56C1B" w:rsidR="0016034B" w:rsidRPr="008D7232" w:rsidRDefault="0016034B" w:rsidP="0016034B">
            <w:r>
              <w:t>Потенцијални</w:t>
            </w:r>
            <w:r w:rsidRPr="008D7232">
              <w:t xml:space="preserve"> </w:t>
            </w:r>
            <w:r>
              <w:t>подносиоци</w:t>
            </w:r>
            <w:r w:rsidRPr="008D7232">
              <w:t xml:space="preserve"> </w:t>
            </w:r>
            <w:r>
              <w:t>пријава</w:t>
            </w:r>
            <w:r w:rsidRPr="008D7232">
              <w:t xml:space="preserve">, </w:t>
            </w:r>
            <w:r>
              <w:t>тј</w:t>
            </w:r>
            <w:r w:rsidRPr="008D7232">
              <w:t xml:space="preserve">. </w:t>
            </w:r>
            <w:r>
              <w:t>који</w:t>
            </w:r>
            <w:r w:rsidRPr="008D7232">
              <w:t xml:space="preserve"> </w:t>
            </w:r>
            <w:r>
              <w:t>имају</w:t>
            </w:r>
            <w:r w:rsidRPr="008D7232">
              <w:t xml:space="preserve"> </w:t>
            </w:r>
            <w:r>
              <w:t>право</w:t>
            </w:r>
            <w:r w:rsidRPr="008D7232">
              <w:t xml:space="preserve"> </w:t>
            </w:r>
            <w:r>
              <w:t>да</w:t>
            </w:r>
            <w:r w:rsidRPr="008D7232">
              <w:t xml:space="preserve"> </w:t>
            </w:r>
            <w:r>
              <w:t>поднесу</w:t>
            </w:r>
            <w:r w:rsidRPr="008D7232">
              <w:t xml:space="preserve"> </w:t>
            </w:r>
            <w:r>
              <w:t>пријаву</w:t>
            </w:r>
          </w:p>
        </w:tc>
        <w:tc>
          <w:tcPr>
            <w:tcW w:w="6390" w:type="dxa"/>
            <w:vAlign w:val="center"/>
          </w:tcPr>
          <w:p w14:paraId="6677C825" w14:textId="2E2FDCEC" w:rsidR="0016034B" w:rsidRPr="008D7232" w:rsidRDefault="0016034B" w:rsidP="0016034B">
            <w:r>
              <w:t>Предшколске</w:t>
            </w:r>
            <w:r w:rsidRPr="00A42694">
              <w:t xml:space="preserve"> </w:t>
            </w:r>
            <w:r>
              <w:t>установе</w:t>
            </w:r>
            <w:r w:rsidRPr="00A42694">
              <w:t xml:space="preserve">, </w:t>
            </w:r>
            <w:r>
              <w:t>основне</w:t>
            </w:r>
            <w:r w:rsidRPr="00A42694">
              <w:t xml:space="preserve"> </w:t>
            </w:r>
            <w:r>
              <w:t>и</w:t>
            </w:r>
            <w:r w:rsidRPr="00A42694">
              <w:t xml:space="preserve"> </w:t>
            </w:r>
            <w:r>
              <w:t>средње</w:t>
            </w:r>
            <w:r w:rsidRPr="00A42694">
              <w:t xml:space="preserve"> </w:t>
            </w:r>
            <w:r>
              <w:t>школе</w:t>
            </w:r>
            <w:r w:rsidRPr="00A42694">
              <w:t xml:space="preserve">, </w:t>
            </w:r>
            <w:r>
              <w:t>педагошки</w:t>
            </w:r>
            <w:r w:rsidRPr="00A42694">
              <w:t xml:space="preserve"> </w:t>
            </w:r>
            <w:r>
              <w:t>заводи</w:t>
            </w:r>
            <w:r w:rsidRPr="00A42694">
              <w:t xml:space="preserve"> (</w:t>
            </w:r>
            <w:r>
              <w:t>или</w:t>
            </w:r>
            <w:r w:rsidRPr="00A42694">
              <w:t xml:space="preserve"> </w:t>
            </w:r>
            <w:r>
              <w:t>друге</w:t>
            </w:r>
            <w:r w:rsidRPr="00A42694">
              <w:t xml:space="preserve"> </w:t>
            </w:r>
            <w:r>
              <w:t>установе</w:t>
            </w:r>
            <w:r w:rsidRPr="00A42694">
              <w:t xml:space="preserve"> </w:t>
            </w:r>
            <w:r>
              <w:t>регистр</w:t>
            </w:r>
            <w:r>
              <w:rPr>
                <w:rFonts w:cstheme="minorHAnsi"/>
              </w:rPr>
              <w:t>о</w:t>
            </w:r>
            <w:r>
              <w:rPr>
                <w:rFonts w:ascii="Calibri" w:hAnsi="Calibri" w:cs="Calibri"/>
              </w:rPr>
              <w:t>в</w:t>
            </w:r>
            <w:r>
              <w:rPr>
                <w:rFonts w:cstheme="minorHAnsi"/>
              </w:rPr>
              <w:t>а</w:t>
            </w:r>
            <w:r>
              <w:rPr>
                <w:rFonts w:ascii="Calibri" w:hAnsi="Calibri" w:cs="Calibri"/>
              </w:rPr>
              <w:t>н</w:t>
            </w:r>
            <w:r>
              <w:rPr>
                <w:rFonts w:cstheme="minorHAnsi"/>
              </w:rPr>
              <w:t>е</w:t>
            </w:r>
            <w:r w:rsidRPr="00A42694">
              <w:t xml:space="preserve"> </w:t>
            </w:r>
            <w:r>
              <w:t>за</w:t>
            </w:r>
            <w:r w:rsidRPr="00A42694">
              <w:t xml:space="preserve"> </w:t>
            </w:r>
            <w:r>
              <w:t>ову</w:t>
            </w:r>
            <w:r w:rsidRPr="00A42694">
              <w:t xml:space="preserve"> </w:t>
            </w:r>
            <w:r>
              <w:t>дјелатност</w:t>
            </w:r>
            <w:r w:rsidRPr="00A42694">
              <w:t xml:space="preserve">), </w:t>
            </w:r>
            <w:r>
              <w:t>стручне</w:t>
            </w:r>
            <w:r w:rsidRPr="00A42694">
              <w:t xml:space="preserve"> </w:t>
            </w:r>
            <w:r>
              <w:t>невладине</w:t>
            </w:r>
            <w:r w:rsidRPr="00A42694">
              <w:t xml:space="preserve"> </w:t>
            </w:r>
            <w:r>
              <w:t>организације</w:t>
            </w:r>
            <w:r w:rsidRPr="00A42694">
              <w:t xml:space="preserve"> </w:t>
            </w:r>
            <w:r w:rsidRPr="003C23D8">
              <w:t>регистроване</w:t>
            </w:r>
            <w:r w:rsidRPr="00A42694">
              <w:t xml:space="preserve"> </w:t>
            </w:r>
            <w:r>
              <w:t>за</w:t>
            </w:r>
            <w:r w:rsidRPr="00A42694">
              <w:t xml:space="preserve"> </w:t>
            </w:r>
            <w:r>
              <w:t>ову</w:t>
            </w:r>
            <w:r w:rsidRPr="00A42694">
              <w:t xml:space="preserve"> </w:t>
            </w:r>
            <w:r>
              <w:t>дјелатност</w:t>
            </w:r>
            <w:r w:rsidRPr="00A42694">
              <w:t xml:space="preserve">, </w:t>
            </w:r>
            <w:r>
              <w:t>појединци</w:t>
            </w:r>
          </w:p>
        </w:tc>
      </w:tr>
      <w:tr w:rsidR="0016034B" w14:paraId="01BB8F90" w14:textId="77777777" w:rsidTr="008D7232">
        <w:trPr>
          <w:trHeight w:val="657"/>
        </w:trPr>
        <w:tc>
          <w:tcPr>
            <w:tcW w:w="540" w:type="dxa"/>
            <w:vAlign w:val="center"/>
          </w:tcPr>
          <w:p w14:paraId="4A4FCBE2" w14:textId="4F52D36E" w:rsidR="0016034B" w:rsidRDefault="0016034B" w:rsidP="0016034B">
            <w:r>
              <w:t>8</w:t>
            </w:r>
          </w:p>
        </w:tc>
        <w:tc>
          <w:tcPr>
            <w:tcW w:w="3240" w:type="dxa"/>
            <w:vAlign w:val="center"/>
          </w:tcPr>
          <w:p w14:paraId="207CD15D" w14:textId="59CB0905" w:rsidR="0016034B" w:rsidRPr="008D7232" w:rsidRDefault="0016034B" w:rsidP="0016034B">
            <w:r>
              <w:t>Неприхватљиви</w:t>
            </w:r>
            <w:r w:rsidRPr="008D7232">
              <w:t xml:space="preserve"> </w:t>
            </w:r>
            <w:r>
              <w:t>трошкови</w:t>
            </w:r>
            <w:r w:rsidRPr="008D7232">
              <w:t xml:space="preserve"> </w:t>
            </w:r>
            <w:r>
              <w:t>који</w:t>
            </w:r>
            <w:r w:rsidRPr="008D7232">
              <w:t xml:space="preserve"> </w:t>
            </w:r>
            <w:r>
              <w:t>се</w:t>
            </w:r>
            <w:r w:rsidRPr="008D7232">
              <w:t xml:space="preserve"> </w:t>
            </w:r>
            <w:r>
              <w:t>не</w:t>
            </w:r>
            <w:r w:rsidRPr="008D7232">
              <w:t xml:space="preserve"> </w:t>
            </w:r>
            <w:r>
              <w:t>могу</w:t>
            </w:r>
            <w:r w:rsidRPr="008D7232">
              <w:t xml:space="preserve"> </w:t>
            </w:r>
            <w:r>
              <w:t>финансирати</w:t>
            </w:r>
            <w:r w:rsidRPr="008D7232">
              <w:t xml:space="preserve"> </w:t>
            </w:r>
            <w:r>
              <w:t>додијељеним</w:t>
            </w:r>
            <w:r w:rsidRPr="008D7232">
              <w:t xml:space="preserve"> </w:t>
            </w:r>
            <w:r>
              <w:t>средствима</w:t>
            </w:r>
          </w:p>
        </w:tc>
        <w:tc>
          <w:tcPr>
            <w:tcW w:w="6390" w:type="dxa"/>
            <w:vAlign w:val="center"/>
          </w:tcPr>
          <w:p w14:paraId="6F78A0BE" w14:textId="129EF067" w:rsidR="0016034B" w:rsidRDefault="0016034B" w:rsidP="0016034B">
            <w:r>
              <w:t>Плате</w:t>
            </w:r>
            <w:r w:rsidRPr="008D7232">
              <w:t xml:space="preserve"> </w:t>
            </w:r>
            <w:r>
              <w:t>и</w:t>
            </w:r>
            <w:r w:rsidRPr="008D7232">
              <w:t xml:space="preserve"> </w:t>
            </w:r>
            <w:r>
              <w:t>накнаде</w:t>
            </w:r>
            <w:r w:rsidRPr="008D7232">
              <w:t xml:space="preserve"> </w:t>
            </w:r>
            <w:r>
              <w:t>трошкова</w:t>
            </w:r>
            <w:r w:rsidRPr="008D7232">
              <w:t xml:space="preserve"> </w:t>
            </w:r>
            <w:r>
              <w:t>запосленика</w:t>
            </w:r>
            <w:r w:rsidRPr="008D7232">
              <w:t>.</w:t>
            </w:r>
          </w:p>
        </w:tc>
      </w:tr>
      <w:tr w:rsidR="0016034B" w14:paraId="30A94F1E" w14:textId="77777777" w:rsidTr="008D7232">
        <w:trPr>
          <w:trHeight w:val="1659"/>
        </w:trPr>
        <w:tc>
          <w:tcPr>
            <w:tcW w:w="540" w:type="dxa"/>
            <w:vAlign w:val="center"/>
          </w:tcPr>
          <w:p w14:paraId="16A1FF33" w14:textId="3785F742" w:rsidR="0016034B" w:rsidRDefault="0016034B" w:rsidP="0016034B">
            <w:r>
              <w:t>9</w:t>
            </w:r>
          </w:p>
        </w:tc>
        <w:tc>
          <w:tcPr>
            <w:tcW w:w="3240" w:type="dxa"/>
            <w:vAlign w:val="center"/>
          </w:tcPr>
          <w:p w14:paraId="17FA8FC2" w14:textId="590C88DE" w:rsidR="0016034B" w:rsidRPr="008D7232" w:rsidRDefault="0016034B" w:rsidP="0016034B">
            <w:r>
              <w:t>Опис</w:t>
            </w:r>
            <w:r w:rsidRPr="008D7232">
              <w:t xml:space="preserve"> </w:t>
            </w:r>
            <w:r>
              <w:t>поступка</w:t>
            </w:r>
            <w:r w:rsidRPr="008D7232">
              <w:t xml:space="preserve"> </w:t>
            </w:r>
            <w:r>
              <w:t>административне</w:t>
            </w:r>
            <w:r w:rsidRPr="008D7232">
              <w:t xml:space="preserve"> </w:t>
            </w:r>
            <w:r>
              <w:t>провјере</w:t>
            </w:r>
            <w:r w:rsidRPr="008D7232">
              <w:t xml:space="preserve"> (</w:t>
            </w:r>
            <w:r>
              <w:t>селекције</w:t>
            </w:r>
            <w:r w:rsidRPr="008D7232">
              <w:t xml:space="preserve">) </w:t>
            </w:r>
            <w:r>
              <w:t>пријаве</w:t>
            </w:r>
            <w:r w:rsidRPr="008D7232">
              <w:t xml:space="preserve"> (</w:t>
            </w:r>
            <w:r>
              <w:t>услови</w:t>
            </w:r>
            <w:r w:rsidRPr="008D7232">
              <w:t xml:space="preserve"> </w:t>
            </w:r>
            <w:r>
              <w:t>које</w:t>
            </w:r>
            <w:r w:rsidRPr="008D7232">
              <w:t xml:space="preserve"> </w:t>
            </w:r>
            <w:r>
              <w:t>подносиоци</w:t>
            </w:r>
            <w:r w:rsidRPr="008D7232">
              <w:t xml:space="preserve"> </w:t>
            </w:r>
            <w:r>
              <w:t>пријаве</w:t>
            </w:r>
            <w:r w:rsidRPr="008D7232">
              <w:t xml:space="preserve"> </w:t>
            </w:r>
            <w:r>
              <w:t>требају</w:t>
            </w:r>
            <w:r w:rsidRPr="008D7232">
              <w:t xml:space="preserve"> </w:t>
            </w:r>
            <w:r>
              <w:t>задовољавати</w:t>
            </w:r>
            <w:r w:rsidRPr="008D7232">
              <w:t xml:space="preserve"> </w:t>
            </w:r>
            <w:r>
              <w:t>како</w:t>
            </w:r>
            <w:r w:rsidRPr="008D7232">
              <w:t xml:space="preserve"> </w:t>
            </w:r>
            <w:r>
              <w:t>би</w:t>
            </w:r>
            <w:r w:rsidRPr="008D7232">
              <w:t xml:space="preserve"> </w:t>
            </w:r>
            <w:r>
              <w:t>могли бити разматрани за додјелу буџетских средстава</w:t>
            </w:r>
            <w:r w:rsidRPr="008D7232">
              <w:t>)</w:t>
            </w:r>
          </w:p>
        </w:tc>
        <w:tc>
          <w:tcPr>
            <w:tcW w:w="6390" w:type="dxa"/>
            <w:vAlign w:val="center"/>
          </w:tcPr>
          <w:p w14:paraId="7E90BA23" w14:textId="77777777" w:rsidR="0016034B" w:rsidRDefault="0016034B" w:rsidP="0016034B">
            <w:r>
              <w:t xml:space="preserve">Административном провјером се утврђује испуњавање критерија Јавног позива у смислу одговарајућих корисника средстава, да ли је пријава потпуна, да ли је поднесена на одговарајућем обрасцу, да ли је достављена сва тражена документација у тексту јавног позива и обрасцу Захтјева и други услови наведени у тексту Јавног позива, обрасцу Захтјева и овом Упутству. Дакле, у овој фази се провјерава испуњеност формално-правних услова за приступање сљедећој фази, која се </w:t>
            </w:r>
            <w:proofErr w:type="spellStart"/>
            <w:r>
              <w:t>односи</w:t>
            </w:r>
            <w:proofErr w:type="spellEnd"/>
            <w:r>
              <w:t xml:space="preserve"> </w:t>
            </w:r>
            <w:proofErr w:type="spellStart"/>
            <w:r>
              <w:t>на</w:t>
            </w:r>
            <w:proofErr w:type="spellEnd"/>
            <w:r>
              <w:t xml:space="preserve"> </w:t>
            </w:r>
            <w:proofErr w:type="spellStart"/>
            <w:r>
              <w:t>оцјењивање</w:t>
            </w:r>
            <w:proofErr w:type="spellEnd"/>
            <w:r>
              <w:t xml:space="preserve"> </w:t>
            </w:r>
            <w:proofErr w:type="spellStart"/>
            <w:r>
              <w:t>пројеката</w:t>
            </w:r>
            <w:proofErr w:type="spellEnd"/>
            <w:r>
              <w:t>.</w:t>
            </w:r>
          </w:p>
          <w:p w14:paraId="1141CAA0" w14:textId="77777777" w:rsidR="00935A98" w:rsidRDefault="00935A98" w:rsidP="00935A98">
            <w:proofErr w:type="spellStart"/>
            <w:r>
              <w:t>Уколико</w:t>
            </w:r>
            <w:proofErr w:type="spellEnd"/>
            <w:r>
              <w:t xml:space="preserve"> </w:t>
            </w:r>
            <w:proofErr w:type="spellStart"/>
            <w:r>
              <w:t>се</w:t>
            </w:r>
            <w:proofErr w:type="spellEnd"/>
            <w:r>
              <w:t xml:space="preserve"> </w:t>
            </w:r>
            <w:proofErr w:type="spellStart"/>
            <w:r>
              <w:t>приликом</w:t>
            </w:r>
            <w:proofErr w:type="spellEnd"/>
            <w:r>
              <w:t xml:space="preserve"> </w:t>
            </w:r>
            <w:proofErr w:type="spellStart"/>
            <w:r>
              <w:t>селекције</w:t>
            </w:r>
            <w:proofErr w:type="spellEnd"/>
            <w:r>
              <w:t xml:space="preserve"> </w:t>
            </w:r>
            <w:proofErr w:type="spellStart"/>
            <w:r>
              <w:t>утврди</w:t>
            </w:r>
            <w:proofErr w:type="spellEnd"/>
            <w:r>
              <w:t xml:space="preserve"> </w:t>
            </w:r>
            <w:proofErr w:type="spellStart"/>
            <w:r>
              <w:t>формални</w:t>
            </w:r>
            <w:proofErr w:type="spellEnd"/>
            <w:r>
              <w:t xml:space="preserve"> </w:t>
            </w:r>
            <w:proofErr w:type="spellStart"/>
            <w:r>
              <w:t>недостатак</w:t>
            </w:r>
            <w:proofErr w:type="spellEnd"/>
            <w:r>
              <w:t xml:space="preserve"> у </w:t>
            </w:r>
            <w:proofErr w:type="spellStart"/>
            <w:r>
              <w:t>смислу</w:t>
            </w:r>
            <w:proofErr w:type="spellEnd"/>
            <w:r>
              <w:t xml:space="preserve"> </w:t>
            </w:r>
            <w:proofErr w:type="spellStart"/>
            <w:r>
              <w:t>достављања</w:t>
            </w:r>
            <w:proofErr w:type="spellEnd"/>
            <w:r>
              <w:t xml:space="preserve"> </w:t>
            </w:r>
            <w:proofErr w:type="spellStart"/>
            <w:r>
              <w:t>непотписане</w:t>
            </w:r>
            <w:proofErr w:type="spellEnd"/>
            <w:r>
              <w:t xml:space="preserve"> </w:t>
            </w:r>
            <w:proofErr w:type="spellStart"/>
            <w:r>
              <w:t>или</w:t>
            </w:r>
            <w:proofErr w:type="spellEnd"/>
            <w:r>
              <w:t xml:space="preserve"> </w:t>
            </w:r>
            <w:proofErr w:type="spellStart"/>
            <w:r>
              <w:t>неовјерене</w:t>
            </w:r>
            <w:proofErr w:type="spellEnd"/>
            <w:r>
              <w:t xml:space="preserve"> </w:t>
            </w:r>
            <w:proofErr w:type="spellStart"/>
            <w:r>
              <w:t>документације</w:t>
            </w:r>
            <w:proofErr w:type="spellEnd"/>
            <w:r>
              <w:t xml:space="preserve"> (</w:t>
            </w:r>
            <w:proofErr w:type="spellStart"/>
            <w:r>
              <w:t>образаца</w:t>
            </w:r>
            <w:proofErr w:type="spellEnd"/>
            <w:r>
              <w:t xml:space="preserve"> </w:t>
            </w:r>
            <w:proofErr w:type="spellStart"/>
            <w:r>
              <w:t>или</w:t>
            </w:r>
            <w:proofErr w:type="spellEnd"/>
            <w:r>
              <w:t xml:space="preserve"> </w:t>
            </w:r>
            <w:proofErr w:type="spellStart"/>
            <w:r>
              <w:t>пратећих</w:t>
            </w:r>
            <w:proofErr w:type="spellEnd"/>
            <w:r>
              <w:t xml:space="preserve"> </w:t>
            </w:r>
            <w:proofErr w:type="spellStart"/>
            <w:r>
              <w:t>докумената</w:t>
            </w:r>
            <w:proofErr w:type="spellEnd"/>
            <w:r>
              <w:t xml:space="preserve"> </w:t>
            </w:r>
            <w:proofErr w:type="spellStart"/>
            <w:r>
              <w:t>за</w:t>
            </w:r>
            <w:proofErr w:type="spellEnd"/>
            <w:r>
              <w:t xml:space="preserve"> </w:t>
            </w:r>
            <w:proofErr w:type="spellStart"/>
            <w:r>
              <w:t>доказивање</w:t>
            </w:r>
            <w:proofErr w:type="spellEnd"/>
            <w:r>
              <w:t xml:space="preserve"> </w:t>
            </w:r>
            <w:proofErr w:type="spellStart"/>
            <w:r>
              <w:t>одређених</w:t>
            </w:r>
            <w:proofErr w:type="spellEnd"/>
            <w:r>
              <w:t xml:space="preserve"> </w:t>
            </w:r>
            <w:proofErr w:type="spellStart"/>
            <w:r>
              <w:t>чињеница</w:t>
            </w:r>
            <w:proofErr w:type="spellEnd"/>
            <w:r>
              <w:t xml:space="preserve"> </w:t>
            </w:r>
            <w:proofErr w:type="spellStart"/>
            <w:r>
              <w:t>тражених</w:t>
            </w:r>
            <w:proofErr w:type="spellEnd"/>
            <w:r>
              <w:t xml:space="preserve"> </w:t>
            </w:r>
            <w:proofErr w:type="spellStart"/>
            <w:r>
              <w:t>јавним</w:t>
            </w:r>
            <w:proofErr w:type="spellEnd"/>
            <w:r>
              <w:t xml:space="preserve"> </w:t>
            </w:r>
            <w:proofErr w:type="spellStart"/>
            <w:r>
              <w:t>позивом</w:t>
            </w:r>
            <w:proofErr w:type="spellEnd"/>
            <w:r>
              <w:t xml:space="preserve">), </w:t>
            </w:r>
            <w:proofErr w:type="spellStart"/>
            <w:r>
              <w:t>Министарство</w:t>
            </w:r>
            <w:proofErr w:type="spellEnd"/>
            <w:r>
              <w:t xml:space="preserve"> </w:t>
            </w:r>
            <w:proofErr w:type="spellStart"/>
            <w:r>
              <w:t>ће</w:t>
            </w:r>
            <w:proofErr w:type="spellEnd"/>
            <w:r>
              <w:t xml:space="preserve"> </w:t>
            </w:r>
            <w:proofErr w:type="spellStart"/>
            <w:r>
              <w:t>позвати</w:t>
            </w:r>
            <w:proofErr w:type="spellEnd"/>
            <w:r>
              <w:t xml:space="preserve"> </w:t>
            </w:r>
            <w:proofErr w:type="spellStart"/>
            <w:r>
              <w:t>апликанта</w:t>
            </w:r>
            <w:proofErr w:type="spellEnd"/>
            <w:r>
              <w:t xml:space="preserve"> </w:t>
            </w:r>
            <w:proofErr w:type="spellStart"/>
            <w:r>
              <w:t>да</w:t>
            </w:r>
            <w:proofErr w:type="spellEnd"/>
            <w:r>
              <w:t xml:space="preserve"> </w:t>
            </w:r>
            <w:proofErr w:type="spellStart"/>
            <w:r>
              <w:t>утврђени</w:t>
            </w:r>
            <w:proofErr w:type="spellEnd"/>
            <w:r>
              <w:t xml:space="preserve"> </w:t>
            </w:r>
            <w:proofErr w:type="spellStart"/>
            <w:r>
              <w:t>недостатак</w:t>
            </w:r>
            <w:proofErr w:type="spellEnd"/>
            <w:r>
              <w:t xml:space="preserve"> </w:t>
            </w:r>
            <w:proofErr w:type="spellStart"/>
            <w:r>
              <w:t>отклони</w:t>
            </w:r>
            <w:proofErr w:type="spellEnd"/>
            <w:r>
              <w:t xml:space="preserve"> у </w:t>
            </w:r>
            <w:proofErr w:type="spellStart"/>
            <w:r>
              <w:t>року</w:t>
            </w:r>
            <w:proofErr w:type="spellEnd"/>
            <w:r>
              <w:t xml:space="preserve"> </w:t>
            </w:r>
            <w:proofErr w:type="spellStart"/>
            <w:r>
              <w:t>од</w:t>
            </w:r>
            <w:proofErr w:type="spellEnd"/>
            <w:r>
              <w:t xml:space="preserve"> 8 </w:t>
            </w:r>
            <w:proofErr w:type="spellStart"/>
            <w:r>
              <w:t>дана</w:t>
            </w:r>
            <w:proofErr w:type="spellEnd"/>
            <w:r>
              <w:t>.</w:t>
            </w:r>
          </w:p>
          <w:p w14:paraId="0269D1FC" w14:textId="240723FC" w:rsidR="00935A98" w:rsidRDefault="00935A98" w:rsidP="00935A98">
            <w:proofErr w:type="spellStart"/>
            <w:r>
              <w:t>Опис</w:t>
            </w:r>
            <w:proofErr w:type="spellEnd"/>
            <w:r>
              <w:t xml:space="preserve"> </w:t>
            </w:r>
            <w:proofErr w:type="spellStart"/>
            <w:r>
              <w:t>пројекта</w:t>
            </w:r>
            <w:proofErr w:type="spellEnd"/>
            <w:r>
              <w:t xml:space="preserve"> и </w:t>
            </w:r>
            <w:proofErr w:type="spellStart"/>
            <w:r>
              <w:t>финансијски</w:t>
            </w:r>
            <w:proofErr w:type="spellEnd"/>
            <w:r>
              <w:t xml:space="preserve"> </w:t>
            </w:r>
            <w:proofErr w:type="spellStart"/>
            <w:r>
              <w:t>план</w:t>
            </w:r>
            <w:proofErr w:type="spellEnd"/>
            <w:r>
              <w:t xml:space="preserve"> </w:t>
            </w:r>
            <w:proofErr w:type="spellStart"/>
            <w:r>
              <w:t>пројекта</w:t>
            </w:r>
            <w:proofErr w:type="spellEnd"/>
            <w:r>
              <w:t xml:space="preserve"> </w:t>
            </w:r>
            <w:proofErr w:type="spellStart"/>
            <w:r>
              <w:t>није</w:t>
            </w:r>
            <w:proofErr w:type="spellEnd"/>
            <w:r>
              <w:t xml:space="preserve"> </w:t>
            </w:r>
            <w:proofErr w:type="spellStart"/>
            <w:r>
              <w:t>могуће</w:t>
            </w:r>
            <w:proofErr w:type="spellEnd"/>
            <w:r>
              <w:t xml:space="preserve"> </w:t>
            </w:r>
            <w:proofErr w:type="spellStart"/>
            <w:r>
              <w:t>допуњавати</w:t>
            </w:r>
            <w:proofErr w:type="spellEnd"/>
            <w:r>
              <w:t>.</w:t>
            </w:r>
          </w:p>
        </w:tc>
      </w:tr>
      <w:tr w:rsidR="0016034B" w14:paraId="5EC739E9" w14:textId="77777777" w:rsidTr="008D7232">
        <w:trPr>
          <w:trHeight w:val="672"/>
        </w:trPr>
        <w:tc>
          <w:tcPr>
            <w:tcW w:w="540" w:type="dxa"/>
            <w:vAlign w:val="center"/>
          </w:tcPr>
          <w:p w14:paraId="6A4D0FEF" w14:textId="1743C6ED" w:rsidR="0016034B" w:rsidRDefault="0016034B" w:rsidP="0016034B">
            <w:r>
              <w:t>10</w:t>
            </w:r>
          </w:p>
        </w:tc>
        <w:tc>
          <w:tcPr>
            <w:tcW w:w="3240" w:type="dxa"/>
            <w:vAlign w:val="center"/>
          </w:tcPr>
          <w:p w14:paraId="43D9EF71" w14:textId="014487E5" w:rsidR="0016034B" w:rsidRPr="00A052B2" w:rsidRDefault="0016034B" w:rsidP="0016034B">
            <w:r>
              <w:t>Опис</w:t>
            </w:r>
            <w:r w:rsidRPr="00A052B2">
              <w:t xml:space="preserve"> </w:t>
            </w:r>
            <w:r>
              <w:t>поступка</w:t>
            </w:r>
            <w:r w:rsidRPr="00A052B2">
              <w:t xml:space="preserve"> </w:t>
            </w:r>
            <w:r>
              <w:t>одабира</w:t>
            </w:r>
            <w:r w:rsidRPr="00A052B2">
              <w:t xml:space="preserve"> </w:t>
            </w:r>
            <w:r>
              <w:t>пројеката</w:t>
            </w:r>
            <w:r w:rsidRPr="00A052B2">
              <w:t xml:space="preserve"> </w:t>
            </w:r>
            <w:r>
              <w:t>који</w:t>
            </w:r>
            <w:r w:rsidRPr="00A052B2">
              <w:t xml:space="preserve"> </w:t>
            </w:r>
            <w:r>
              <w:t>ће</w:t>
            </w:r>
            <w:r w:rsidRPr="00A052B2">
              <w:t xml:space="preserve"> </w:t>
            </w:r>
            <w:r>
              <w:t>бити</w:t>
            </w:r>
            <w:r w:rsidRPr="00A052B2">
              <w:t xml:space="preserve"> </w:t>
            </w:r>
            <w:r>
              <w:t>финансирани</w:t>
            </w:r>
          </w:p>
        </w:tc>
        <w:tc>
          <w:tcPr>
            <w:tcW w:w="6390" w:type="dxa"/>
            <w:vAlign w:val="center"/>
          </w:tcPr>
          <w:p w14:paraId="1AC3A615" w14:textId="282304B8" w:rsidR="0016034B" w:rsidRDefault="0016034B" w:rsidP="0016034B">
            <w:r>
              <w:t>Оцјену поднесених пријава јавни</w:t>
            </w:r>
            <w:r w:rsidRPr="00A052B2">
              <w:t xml:space="preserve"> </w:t>
            </w:r>
            <w:r>
              <w:t>позив,</w:t>
            </w:r>
            <w:r w:rsidRPr="00A052B2">
              <w:t xml:space="preserve"> </w:t>
            </w:r>
            <w:r>
              <w:t>које су испуниле формално- правне услове (задовољили услове селекције пројеката), ће вршити Комисија Федералног министарства образовања и науке на основу критерија из прилога Јавног позива.</w:t>
            </w:r>
          </w:p>
        </w:tc>
      </w:tr>
      <w:tr w:rsidR="0016034B" w14:paraId="2DB380BC" w14:textId="77777777" w:rsidTr="008D7232">
        <w:trPr>
          <w:trHeight w:val="672"/>
        </w:trPr>
        <w:tc>
          <w:tcPr>
            <w:tcW w:w="540" w:type="dxa"/>
            <w:vAlign w:val="center"/>
          </w:tcPr>
          <w:p w14:paraId="3F6B47A8" w14:textId="2B0FEBC2" w:rsidR="0016034B" w:rsidRDefault="0016034B" w:rsidP="0016034B">
            <w:r>
              <w:t>11</w:t>
            </w:r>
          </w:p>
        </w:tc>
        <w:tc>
          <w:tcPr>
            <w:tcW w:w="3240" w:type="dxa"/>
            <w:vAlign w:val="center"/>
          </w:tcPr>
          <w:p w14:paraId="11327019" w14:textId="5D9DF410" w:rsidR="0016034B" w:rsidRPr="00287EE4" w:rsidRDefault="0016034B" w:rsidP="0016034B">
            <w:r>
              <w:t>Опис</w:t>
            </w:r>
            <w:r w:rsidRPr="00287EE4">
              <w:t xml:space="preserve"> </w:t>
            </w:r>
            <w:r>
              <w:t>поступка</w:t>
            </w:r>
            <w:r w:rsidRPr="00287EE4">
              <w:t xml:space="preserve"> </w:t>
            </w:r>
            <w:r>
              <w:t>уговарања</w:t>
            </w:r>
            <w:r w:rsidRPr="00287EE4">
              <w:t xml:space="preserve"> </w:t>
            </w:r>
            <w:r>
              <w:t>одабраних</w:t>
            </w:r>
            <w:r w:rsidRPr="00287EE4">
              <w:t xml:space="preserve"> </w:t>
            </w:r>
            <w:r>
              <w:t>програма</w:t>
            </w:r>
            <w:r w:rsidRPr="00287EE4">
              <w:t xml:space="preserve"> </w:t>
            </w:r>
            <w:r>
              <w:t>и</w:t>
            </w:r>
            <w:r w:rsidRPr="00287EE4">
              <w:t xml:space="preserve"> </w:t>
            </w:r>
            <w:r>
              <w:t>пројеката</w:t>
            </w:r>
          </w:p>
        </w:tc>
        <w:tc>
          <w:tcPr>
            <w:tcW w:w="6390" w:type="dxa"/>
            <w:vAlign w:val="center"/>
          </w:tcPr>
          <w:p w14:paraId="57031E70" w14:textId="5FBC9C7D" w:rsidR="0016034B" w:rsidRDefault="0016034B" w:rsidP="0016034B">
            <w:r>
              <w:t>Са</w:t>
            </w:r>
            <w:r w:rsidRPr="001534F8">
              <w:t xml:space="preserve"> </w:t>
            </w:r>
            <w:r>
              <w:t>корисницима</w:t>
            </w:r>
            <w:r w:rsidRPr="001534F8">
              <w:t xml:space="preserve"> </w:t>
            </w:r>
            <w:r>
              <w:t>средстава</w:t>
            </w:r>
            <w:r w:rsidRPr="001534F8">
              <w:t xml:space="preserve">, </w:t>
            </w:r>
            <w:r>
              <w:t>федерална министрица</w:t>
            </w:r>
            <w:r w:rsidRPr="001534F8">
              <w:t xml:space="preserve"> </w:t>
            </w:r>
            <w:r>
              <w:t>образовања</w:t>
            </w:r>
            <w:r w:rsidRPr="001534F8">
              <w:t xml:space="preserve"> </w:t>
            </w:r>
            <w:r>
              <w:t>и</w:t>
            </w:r>
            <w:r w:rsidRPr="001534F8">
              <w:t xml:space="preserve"> </w:t>
            </w:r>
            <w:r>
              <w:t>науке</w:t>
            </w:r>
            <w:r w:rsidRPr="001534F8">
              <w:t xml:space="preserve"> </w:t>
            </w:r>
            <w:r>
              <w:t>ће</w:t>
            </w:r>
            <w:r w:rsidRPr="001534F8">
              <w:t xml:space="preserve"> </w:t>
            </w:r>
            <w:r>
              <w:t>потписати</w:t>
            </w:r>
            <w:r w:rsidRPr="001534F8">
              <w:t xml:space="preserve"> </w:t>
            </w:r>
            <w:r>
              <w:t>посебне</w:t>
            </w:r>
            <w:r w:rsidRPr="001534F8">
              <w:t xml:space="preserve"> </w:t>
            </w:r>
            <w:r>
              <w:t>уговоре</w:t>
            </w:r>
            <w:r w:rsidRPr="001534F8">
              <w:t xml:space="preserve"> </w:t>
            </w:r>
            <w:r>
              <w:t>о</w:t>
            </w:r>
            <w:r w:rsidRPr="001534F8">
              <w:t xml:space="preserve"> </w:t>
            </w:r>
            <w:r>
              <w:t>реализацији</w:t>
            </w:r>
            <w:r w:rsidRPr="001534F8">
              <w:t xml:space="preserve"> </w:t>
            </w:r>
            <w:r>
              <w:t>додијељених</w:t>
            </w:r>
            <w:r w:rsidRPr="001534F8">
              <w:t xml:space="preserve"> </w:t>
            </w:r>
            <w:r>
              <w:t>средстава</w:t>
            </w:r>
            <w:r w:rsidRPr="001534F8">
              <w:t xml:space="preserve">, </w:t>
            </w:r>
            <w:r>
              <w:t>којим</w:t>
            </w:r>
            <w:r w:rsidRPr="001534F8">
              <w:t xml:space="preserve"> </w:t>
            </w:r>
            <w:r>
              <w:t>ће</w:t>
            </w:r>
            <w:r w:rsidRPr="001534F8">
              <w:t xml:space="preserve"> </w:t>
            </w:r>
            <w:r>
              <w:t>се</w:t>
            </w:r>
            <w:r w:rsidRPr="001534F8">
              <w:t xml:space="preserve"> </w:t>
            </w:r>
            <w:r>
              <w:t>регули</w:t>
            </w:r>
            <w:r>
              <w:rPr>
                <w:rFonts w:cstheme="minorHAnsi"/>
              </w:rPr>
              <w:t>с</w:t>
            </w:r>
            <w:r>
              <w:t>ати</w:t>
            </w:r>
            <w:r w:rsidRPr="001534F8">
              <w:t xml:space="preserve"> </w:t>
            </w:r>
            <w:r>
              <w:t>начин</w:t>
            </w:r>
            <w:r w:rsidRPr="001534F8">
              <w:t xml:space="preserve"> </w:t>
            </w:r>
            <w:r>
              <w:t>и</w:t>
            </w:r>
            <w:r w:rsidRPr="001534F8">
              <w:t xml:space="preserve"> </w:t>
            </w:r>
            <w:r>
              <w:t>рокови</w:t>
            </w:r>
            <w:r w:rsidRPr="001534F8">
              <w:t xml:space="preserve"> </w:t>
            </w:r>
            <w:r>
              <w:t>утрошка</w:t>
            </w:r>
            <w:r w:rsidRPr="001534F8">
              <w:t xml:space="preserve"> </w:t>
            </w:r>
            <w:r>
              <w:t>средстава</w:t>
            </w:r>
            <w:r w:rsidRPr="001534F8">
              <w:t xml:space="preserve"> </w:t>
            </w:r>
            <w:r>
              <w:t>и</w:t>
            </w:r>
            <w:r w:rsidRPr="001534F8">
              <w:t xml:space="preserve"> </w:t>
            </w:r>
            <w:r>
              <w:t>извјештавање</w:t>
            </w:r>
            <w:r w:rsidRPr="001534F8">
              <w:t>.</w:t>
            </w:r>
          </w:p>
        </w:tc>
      </w:tr>
      <w:tr w:rsidR="0016034B" w14:paraId="2E0B4FB8" w14:textId="77777777" w:rsidTr="008D7232">
        <w:trPr>
          <w:trHeight w:val="657"/>
        </w:trPr>
        <w:tc>
          <w:tcPr>
            <w:tcW w:w="540" w:type="dxa"/>
            <w:vAlign w:val="center"/>
          </w:tcPr>
          <w:p w14:paraId="5A5E822A" w14:textId="13D0BCD7" w:rsidR="0016034B" w:rsidRDefault="0016034B" w:rsidP="0016034B">
            <w:r>
              <w:t>12</w:t>
            </w:r>
          </w:p>
        </w:tc>
        <w:tc>
          <w:tcPr>
            <w:tcW w:w="3240" w:type="dxa"/>
            <w:vAlign w:val="center"/>
          </w:tcPr>
          <w:p w14:paraId="019CC927" w14:textId="7AC91BF7" w:rsidR="0016034B" w:rsidRPr="000907CB" w:rsidRDefault="0016034B" w:rsidP="0016034B">
            <w:r>
              <w:t>Опис</w:t>
            </w:r>
            <w:r w:rsidRPr="000907CB">
              <w:t xml:space="preserve"> </w:t>
            </w:r>
            <w:r>
              <w:t>поступка</w:t>
            </w:r>
            <w:r w:rsidRPr="000907CB">
              <w:t xml:space="preserve"> </w:t>
            </w:r>
            <w:r>
              <w:t>праћења</w:t>
            </w:r>
            <w:r w:rsidRPr="000907CB">
              <w:t xml:space="preserve"> </w:t>
            </w:r>
            <w:r>
              <w:t>провођења</w:t>
            </w:r>
            <w:r w:rsidRPr="000907CB">
              <w:t xml:space="preserve"> </w:t>
            </w:r>
            <w:r>
              <w:t>програма</w:t>
            </w:r>
            <w:r w:rsidRPr="000907CB">
              <w:t xml:space="preserve"> </w:t>
            </w:r>
            <w:r>
              <w:t>или</w:t>
            </w:r>
            <w:r w:rsidRPr="000907CB">
              <w:t xml:space="preserve"> </w:t>
            </w:r>
            <w:r>
              <w:t>пројеката</w:t>
            </w:r>
          </w:p>
        </w:tc>
        <w:tc>
          <w:tcPr>
            <w:tcW w:w="6390" w:type="dxa"/>
            <w:vAlign w:val="center"/>
          </w:tcPr>
          <w:p w14:paraId="76DD9789" w14:textId="2FD11C36" w:rsidR="0016034B" w:rsidRDefault="0016034B" w:rsidP="0016034B">
            <w:r>
              <w:t>У складу са уговором о реализацији пројекта, корисник је обавезан доставити извјештај са доказима о намјенском утрошку додијељених средстава. Уколико корисник средстава у року утврђеном</w:t>
            </w:r>
            <w:r w:rsidRPr="00EF3436">
              <w:t xml:space="preserve"> </w:t>
            </w:r>
            <w:r>
              <w:t>у уговору не</w:t>
            </w:r>
            <w:r w:rsidRPr="00EF3436">
              <w:t xml:space="preserve"> </w:t>
            </w:r>
            <w:r>
              <w:t>достави</w:t>
            </w:r>
            <w:r w:rsidRPr="00EF3436">
              <w:t xml:space="preserve"> </w:t>
            </w:r>
            <w:r>
              <w:t>Извјештај</w:t>
            </w:r>
            <w:r w:rsidRPr="00EF3436">
              <w:t xml:space="preserve"> </w:t>
            </w:r>
            <w:r>
              <w:t>о</w:t>
            </w:r>
            <w:r w:rsidRPr="00EF3436">
              <w:t xml:space="preserve"> </w:t>
            </w:r>
            <w:r>
              <w:t>намјенском</w:t>
            </w:r>
            <w:r w:rsidRPr="00EF3436">
              <w:t xml:space="preserve"> </w:t>
            </w:r>
            <w:r>
              <w:t>утрошку</w:t>
            </w:r>
            <w:r w:rsidRPr="00EF3436">
              <w:t xml:space="preserve"> </w:t>
            </w:r>
            <w:r>
              <w:t>додијељених</w:t>
            </w:r>
            <w:r w:rsidRPr="00EF3436">
              <w:t xml:space="preserve"> </w:t>
            </w:r>
            <w:r>
              <w:t>средстава</w:t>
            </w:r>
            <w:r w:rsidRPr="00EF3436">
              <w:t xml:space="preserve"> </w:t>
            </w:r>
            <w:r>
              <w:t>или</w:t>
            </w:r>
            <w:r w:rsidRPr="00EF3436">
              <w:t xml:space="preserve"> </w:t>
            </w:r>
            <w:r>
              <w:t>средства</w:t>
            </w:r>
            <w:r w:rsidRPr="00EF3436">
              <w:t xml:space="preserve"> </w:t>
            </w:r>
            <w:r>
              <w:t>утроши</w:t>
            </w:r>
            <w:r w:rsidRPr="00EF3436">
              <w:t xml:space="preserve"> </w:t>
            </w:r>
            <w:r>
              <w:t>ненамјенски</w:t>
            </w:r>
            <w:r w:rsidRPr="00EF3436">
              <w:t xml:space="preserve">, </w:t>
            </w:r>
            <w:r>
              <w:t>Министарство</w:t>
            </w:r>
            <w:r w:rsidRPr="00EF3436">
              <w:t xml:space="preserve"> </w:t>
            </w:r>
            <w:r>
              <w:t>ће</w:t>
            </w:r>
            <w:r w:rsidRPr="00EF3436">
              <w:t xml:space="preserve"> </w:t>
            </w:r>
            <w:r>
              <w:t>подузети одговарајуће мјере у складу са одредбама закљученог уговора и у</w:t>
            </w:r>
            <w:r w:rsidRPr="00EF3436">
              <w:t xml:space="preserve"> </w:t>
            </w:r>
            <w:r>
              <w:t>складу</w:t>
            </w:r>
            <w:r w:rsidRPr="00EF3436">
              <w:t xml:space="preserve"> </w:t>
            </w:r>
            <w:r>
              <w:t>са</w:t>
            </w:r>
            <w:r w:rsidRPr="00EF3436">
              <w:t xml:space="preserve"> </w:t>
            </w:r>
            <w:r>
              <w:t>законом</w:t>
            </w:r>
            <w:r w:rsidRPr="00EF3436">
              <w:t>.</w:t>
            </w:r>
          </w:p>
        </w:tc>
      </w:tr>
      <w:tr w:rsidR="0016034B" w14:paraId="2A5E4DB1" w14:textId="77777777" w:rsidTr="008D7232">
        <w:trPr>
          <w:trHeight w:val="672"/>
        </w:trPr>
        <w:tc>
          <w:tcPr>
            <w:tcW w:w="540" w:type="dxa"/>
            <w:vAlign w:val="center"/>
          </w:tcPr>
          <w:p w14:paraId="02FE08E9" w14:textId="12064C50" w:rsidR="0016034B" w:rsidRDefault="0016034B" w:rsidP="0016034B">
            <w:r>
              <w:t>13</w:t>
            </w:r>
          </w:p>
        </w:tc>
        <w:tc>
          <w:tcPr>
            <w:tcW w:w="3240" w:type="dxa"/>
            <w:vAlign w:val="center"/>
          </w:tcPr>
          <w:p w14:paraId="67B2E184" w14:textId="6FDF731C" w:rsidR="0016034B" w:rsidRPr="000907CB" w:rsidRDefault="0016034B" w:rsidP="0016034B">
            <w:r>
              <w:t>Оквирни</w:t>
            </w:r>
            <w:r w:rsidRPr="000907CB">
              <w:t xml:space="preserve"> </w:t>
            </w:r>
            <w:r>
              <w:t>календар</w:t>
            </w:r>
            <w:r w:rsidRPr="000907CB">
              <w:t xml:space="preserve"> </w:t>
            </w:r>
            <w:r>
              <w:t>провођења</w:t>
            </w:r>
            <w:r w:rsidRPr="000907CB">
              <w:t xml:space="preserve"> </w:t>
            </w:r>
            <w:r>
              <w:t>свих</w:t>
            </w:r>
            <w:r w:rsidRPr="000907CB">
              <w:t xml:space="preserve"> </w:t>
            </w:r>
            <w:r>
              <w:t>поступака</w:t>
            </w:r>
          </w:p>
        </w:tc>
        <w:tc>
          <w:tcPr>
            <w:tcW w:w="6390" w:type="dxa"/>
            <w:vAlign w:val="center"/>
          </w:tcPr>
          <w:p w14:paraId="54826B61" w14:textId="1645BC4E" w:rsidR="0016034B" w:rsidRDefault="0016034B" w:rsidP="0016034B">
            <w:r>
              <w:t>Јуни – децембар 2024. године</w:t>
            </w:r>
          </w:p>
        </w:tc>
      </w:tr>
      <w:tr w:rsidR="0016034B" w14:paraId="161D8D21" w14:textId="77777777" w:rsidTr="008D7232">
        <w:trPr>
          <w:trHeight w:val="672"/>
        </w:trPr>
        <w:tc>
          <w:tcPr>
            <w:tcW w:w="540" w:type="dxa"/>
            <w:vAlign w:val="center"/>
          </w:tcPr>
          <w:p w14:paraId="7FCE9345" w14:textId="6FB15424" w:rsidR="0016034B" w:rsidRDefault="0016034B" w:rsidP="0016034B">
            <w:r>
              <w:lastRenderedPageBreak/>
              <w:t>14</w:t>
            </w:r>
          </w:p>
        </w:tc>
        <w:tc>
          <w:tcPr>
            <w:tcW w:w="3240" w:type="dxa"/>
            <w:vAlign w:val="center"/>
          </w:tcPr>
          <w:p w14:paraId="32F4B80D" w14:textId="60A53DFB" w:rsidR="0016034B" w:rsidRPr="00A90B26" w:rsidRDefault="00A90B26" w:rsidP="0016034B">
            <w:r w:rsidRPr="00A90B26">
              <w:t>Правила видљивости (промоција програма, пројеката и резултата) која се требају поштовати у провођењу програма или пројекта</w:t>
            </w:r>
          </w:p>
        </w:tc>
        <w:tc>
          <w:tcPr>
            <w:tcW w:w="6390" w:type="dxa"/>
            <w:vAlign w:val="center"/>
          </w:tcPr>
          <w:p w14:paraId="69591760" w14:textId="77777777" w:rsidR="00A90B26" w:rsidRPr="00A90B26" w:rsidRDefault="00A90B26" w:rsidP="0016034B">
            <w:pPr>
              <w:rPr>
                <w:rFonts w:ascii="Calibri" w:eastAsia="Calibri" w:hAnsi="Calibri" w:cs="Times New Roman"/>
              </w:rPr>
            </w:pPr>
            <w:r w:rsidRPr="00A90B26">
              <w:rPr>
                <w:rFonts w:ascii="Calibri" w:eastAsia="Calibri" w:hAnsi="Calibri" w:cs="Times New Roman"/>
              </w:rPr>
              <w:t>У реализацији свих пројектних активности, а посебно активности које се односе на презентовање и промоцију резултата пројекта, обавезно назначити да је Министарство</w:t>
            </w:r>
          </w:p>
          <w:p w14:paraId="71459978" w14:textId="487270AA" w:rsidR="0016034B" w:rsidRPr="00A90B26" w:rsidRDefault="00A90B26" w:rsidP="0016034B">
            <w:r w:rsidRPr="00A90B26">
              <w:rPr>
                <w:rFonts w:ascii="Calibri" w:eastAsia="Calibri" w:hAnsi="Calibri" w:cs="Times New Roman"/>
              </w:rPr>
              <w:t>финансирало/суфинансирало пројекат.</w:t>
            </w:r>
          </w:p>
        </w:tc>
      </w:tr>
      <w:tr w:rsidR="0016034B" w14:paraId="22A85405" w14:textId="77777777" w:rsidTr="008D7232">
        <w:trPr>
          <w:trHeight w:val="2331"/>
        </w:trPr>
        <w:tc>
          <w:tcPr>
            <w:tcW w:w="540" w:type="dxa"/>
            <w:vAlign w:val="center"/>
          </w:tcPr>
          <w:p w14:paraId="7ED756E3" w14:textId="0B59A7BE" w:rsidR="0016034B" w:rsidRDefault="0016034B" w:rsidP="0016034B">
            <w:r>
              <w:t>15</w:t>
            </w:r>
          </w:p>
        </w:tc>
        <w:tc>
          <w:tcPr>
            <w:tcW w:w="3240" w:type="dxa"/>
            <w:vAlign w:val="center"/>
          </w:tcPr>
          <w:p w14:paraId="3354B56C" w14:textId="33622EEA" w:rsidR="0016034B" w:rsidRPr="002A2983" w:rsidRDefault="0016034B" w:rsidP="0016034B">
            <w:r>
              <w:t>Начин</w:t>
            </w:r>
            <w:r w:rsidRPr="002A2983">
              <w:t xml:space="preserve"> </w:t>
            </w:r>
            <w:r>
              <w:t>комуникације</w:t>
            </w:r>
            <w:r w:rsidRPr="002A2983">
              <w:t xml:space="preserve"> </w:t>
            </w:r>
            <w:r>
              <w:t>са</w:t>
            </w:r>
            <w:r w:rsidRPr="002A2983">
              <w:t xml:space="preserve"> </w:t>
            </w:r>
            <w:r>
              <w:t>даваоцем</w:t>
            </w:r>
            <w:r w:rsidRPr="002A2983">
              <w:t xml:space="preserve"> </w:t>
            </w:r>
            <w:r>
              <w:t>буџетских</w:t>
            </w:r>
            <w:r w:rsidRPr="002A2983">
              <w:t xml:space="preserve"> </w:t>
            </w:r>
            <w:r>
              <w:t>средстава</w:t>
            </w:r>
            <w:r w:rsidRPr="002A2983">
              <w:t xml:space="preserve"> </w:t>
            </w:r>
            <w:r>
              <w:t>током</w:t>
            </w:r>
            <w:r w:rsidRPr="002A2983">
              <w:t xml:space="preserve"> </w:t>
            </w:r>
            <w:r>
              <w:t>трајања</w:t>
            </w:r>
            <w:r w:rsidRPr="002A2983">
              <w:t xml:space="preserve"> </w:t>
            </w:r>
            <w:r>
              <w:t>јавног</w:t>
            </w:r>
            <w:r w:rsidRPr="002A2983">
              <w:t xml:space="preserve"> </w:t>
            </w:r>
            <w:r>
              <w:t>позива</w:t>
            </w:r>
          </w:p>
        </w:tc>
        <w:tc>
          <w:tcPr>
            <w:tcW w:w="6390" w:type="dxa"/>
            <w:vAlign w:val="center"/>
          </w:tcPr>
          <w:p w14:paraId="36391457" w14:textId="77777777" w:rsidR="0016034B" w:rsidRDefault="0016034B" w:rsidP="0016034B"/>
          <w:p w14:paraId="3823487B" w14:textId="3B219BC0" w:rsidR="0016034B" w:rsidRPr="00EF3436" w:rsidRDefault="0016034B" w:rsidP="0016034B">
            <w:r>
              <w:rPr>
                <w:u w:val="single"/>
              </w:rPr>
              <w:t>Начин</w:t>
            </w:r>
            <w:r w:rsidRPr="00EF3436">
              <w:rPr>
                <w:u w:val="single"/>
              </w:rPr>
              <w:t xml:space="preserve"> </w:t>
            </w:r>
            <w:r>
              <w:rPr>
                <w:u w:val="single"/>
              </w:rPr>
              <w:t>комуникације</w:t>
            </w:r>
            <w:r w:rsidRPr="00EF3436">
              <w:rPr>
                <w:u w:val="single"/>
              </w:rPr>
              <w:t xml:space="preserve"> </w:t>
            </w:r>
            <w:r>
              <w:rPr>
                <w:u w:val="single"/>
              </w:rPr>
              <w:t>са</w:t>
            </w:r>
            <w:r w:rsidRPr="00EF3436">
              <w:rPr>
                <w:u w:val="single"/>
              </w:rPr>
              <w:t xml:space="preserve"> </w:t>
            </w:r>
            <w:r>
              <w:rPr>
                <w:u w:val="single"/>
              </w:rPr>
              <w:t>даваоцем</w:t>
            </w:r>
            <w:r w:rsidRPr="00EF3436">
              <w:rPr>
                <w:u w:val="single"/>
              </w:rPr>
              <w:t xml:space="preserve"> </w:t>
            </w:r>
            <w:r>
              <w:rPr>
                <w:u w:val="single"/>
              </w:rPr>
              <w:t>буџетских</w:t>
            </w:r>
            <w:r w:rsidRPr="00EF3436">
              <w:rPr>
                <w:u w:val="single"/>
              </w:rPr>
              <w:t xml:space="preserve"> </w:t>
            </w:r>
            <w:r>
              <w:rPr>
                <w:u w:val="single"/>
              </w:rPr>
              <w:t>средстава</w:t>
            </w:r>
            <w:r w:rsidRPr="00EF3436">
              <w:rPr>
                <w:u w:val="single"/>
              </w:rPr>
              <w:t xml:space="preserve"> </w:t>
            </w:r>
            <w:r>
              <w:rPr>
                <w:u w:val="single"/>
              </w:rPr>
              <w:t>током</w:t>
            </w:r>
            <w:r w:rsidRPr="00EF3436">
              <w:rPr>
                <w:u w:val="single"/>
              </w:rPr>
              <w:t xml:space="preserve"> </w:t>
            </w:r>
            <w:r>
              <w:rPr>
                <w:u w:val="single"/>
              </w:rPr>
              <w:t>трајања</w:t>
            </w:r>
            <w:r w:rsidRPr="00EF3436">
              <w:rPr>
                <w:u w:val="single"/>
              </w:rPr>
              <w:t xml:space="preserve"> </w:t>
            </w:r>
            <w:r>
              <w:rPr>
                <w:u w:val="single"/>
              </w:rPr>
              <w:t>јавног</w:t>
            </w:r>
            <w:r w:rsidRPr="00EF3436">
              <w:rPr>
                <w:u w:val="single"/>
              </w:rPr>
              <w:t xml:space="preserve"> </w:t>
            </w:r>
            <w:r>
              <w:rPr>
                <w:u w:val="single"/>
              </w:rPr>
              <w:t>позива</w:t>
            </w:r>
            <w:r w:rsidRPr="00EF3436">
              <w:t>:</w:t>
            </w:r>
          </w:p>
          <w:p w14:paraId="53AF58DF" w14:textId="5B7DE427" w:rsidR="0016034B" w:rsidRPr="000049A0" w:rsidRDefault="0016034B" w:rsidP="0016034B">
            <w:r>
              <w:t>Контакт број телефона у Сектору за предшколско, основно и средње образовање за овај јавни позив је 036/355-722</w:t>
            </w:r>
          </w:p>
          <w:p w14:paraId="076FCEE7" w14:textId="77777777" w:rsidR="0016034B" w:rsidRDefault="0016034B" w:rsidP="0016034B"/>
          <w:p w14:paraId="53C0B338" w14:textId="665EAF43" w:rsidR="0016034B" w:rsidRDefault="0016034B" w:rsidP="0016034B">
            <w:r>
              <w:t>Информације</w:t>
            </w:r>
            <w:r w:rsidRPr="002A2983">
              <w:t xml:space="preserve"> </w:t>
            </w:r>
            <w:r>
              <w:t>се</w:t>
            </w:r>
            <w:r w:rsidRPr="002A2983">
              <w:t xml:space="preserve"> </w:t>
            </w:r>
            <w:r>
              <w:t>могу</w:t>
            </w:r>
            <w:r w:rsidRPr="002A2983">
              <w:t xml:space="preserve"> </w:t>
            </w:r>
            <w:r>
              <w:t>добити</w:t>
            </w:r>
            <w:r w:rsidRPr="002A2983">
              <w:t xml:space="preserve"> </w:t>
            </w:r>
            <w:r>
              <w:t>радним</w:t>
            </w:r>
            <w:r w:rsidRPr="002A2983">
              <w:t xml:space="preserve"> </w:t>
            </w:r>
            <w:r>
              <w:t>данима</w:t>
            </w:r>
            <w:r w:rsidRPr="002A2983">
              <w:t xml:space="preserve"> </w:t>
            </w:r>
            <w:r>
              <w:t>од</w:t>
            </w:r>
            <w:r w:rsidRPr="002A2983">
              <w:t xml:space="preserve"> 8.00 </w:t>
            </w:r>
            <w:r>
              <w:t>до</w:t>
            </w:r>
            <w:r w:rsidRPr="002A2983">
              <w:t xml:space="preserve"> 16.00 </w:t>
            </w:r>
            <w:r>
              <w:t>сати.</w:t>
            </w:r>
          </w:p>
        </w:tc>
      </w:tr>
      <w:tr w:rsidR="0016034B" w14:paraId="5F2A55C0" w14:textId="77777777" w:rsidTr="008D7232">
        <w:trPr>
          <w:trHeight w:val="2331"/>
        </w:trPr>
        <w:tc>
          <w:tcPr>
            <w:tcW w:w="540" w:type="dxa"/>
            <w:vAlign w:val="center"/>
          </w:tcPr>
          <w:p w14:paraId="7E60F8B7" w14:textId="473B0775" w:rsidR="0016034B" w:rsidRDefault="0016034B" w:rsidP="0016034B">
            <w:r>
              <w:t>16</w:t>
            </w:r>
          </w:p>
        </w:tc>
        <w:tc>
          <w:tcPr>
            <w:tcW w:w="3240" w:type="dxa"/>
            <w:vAlign w:val="center"/>
          </w:tcPr>
          <w:p w14:paraId="693282CF" w14:textId="1CA0532F" w:rsidR="0016034B" w:rsidRPr="002A2983" w:rsidRDefault="0016034B" w:rsidP="0016034B">
            <w:r>
              <w:t>Начин</w:t>
            </w:r>
            <w:r w:rsidRPr="00287EE4">
              <w:t xml:space="preserve"> </w:t>
            </w:r>
            <w:r>
              <w:t>подношења</w:t>
            </w:r>
            <w:r w:rsidRPr="00287EE4">
              <w:t xml:space="preserve"> </w:t>
            </w:r>
            <w:r>
              <w:t>приговора</w:t>
            </w:r>
          </w:p>
        </w:tc>
        <w:tc>
          <w:tcPr>
            <w:tcW w:w="6390" w:type="dxa"/>
            <w:vAlign w:val="center"/>
          </w:tcPr>
          <w:p w14:paraId="51D122A1" w14:textId="23E6812E" w:rsidR="0016034B" w:rsidRDefault="0016034B" w:rsidP="0016034B">
            <w:r>
              <w:t>Објава о роковима и начину подношења приговора на резултате Јавног позива ће бити објављена на wеб страници Министарства уз резултате Јавног позива, који ће се ажурирати у току године јер се ради о сталном јавном позиву.</w:t>
            </w:r>
          </w:p>
        </w:tc>
      </w:tr>
    </w:tbl>
    <w:p w14:paraId="2EAC1424" w14:textId="77777777" w:rsidR="00531CAA" w:rsidRDefault="00531CAA" w:rsidP="00531CAA"/>
    <w:sectPr w:rsidR="0053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D8"/>
    <w:multiLevelType w:val="hybridMultilevel"/>
    <w:tmpl w:val="E1A88184"/>
    <w:lvl w:ilvl="0" w:tplc="03AEAD88">
      <w:numFmt w:val="bullet"/>
      <w:lvlText w:val="-"/>
      <w:lvlJc w:val="left"/>
      <w:pPr>
        <w:ind w:left="360" w:hanging="360"/>
      </w:pPr>
      <w:rPr>
        <w:rFonts w:ascii="Times New Roman" w:eastAsia="Times New Roman" w:hAnsi="Times New Roman" w:cs="Times New Roman" w:hint="default"/>
        <w:color w:val="auto"/>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2A1"/>
    <w:multiLevelType w:val="hybridMultilevel"/>
    <w:tmpl w:val="331C06DC"/>
    <w:lvl w:ilvl="0" w:tplc="03AEAD88">
      <w:numFmt w:val="bullet"/>
      <w:lvlText w:val="-"/>
      <w:lvlJc w:val="left"/>
      <w:pPr>
        <w:ind w:left="720" w:hanging="360"/>
      </w:pPr>
      <w:rPr>
        <w:rFonts w:ascii="Times New Roman" w:eastAsia="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4F824F9"/>
    <w:multiLevelType w:val="hybridMultilevel"/>
    <w:tmpl w:val="F2BA768E"/>
    <w:lvl w:ilvl="0" w:tplc="03AEAD88">
      <w:numFmt w:val="bullet"/>
      <w:lvlText w:val="-"/>
      <w:lvlJc w:val="left"/>
      <w:pPr>
        <w:ind w:left="1068" w:hanging="360"/>
      </w:pPr>
      <w:rPr>
        <w:rFonts w:ascii="Times New Roman" w:eastAsia="Times New Roman" w:hAnsi="Times New Roman" w:cs="Times New Roman" w:hint="default"/>
        <w:color w:val="auto"/>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4" w15:restartNumberingAfterBreak="0">
    <w:nsid w:val="48261B86"/>
    <w:multiLevelType w:val="hybridMultilevel"/>
    <w:tmpl w:val="366C561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15:restartNumberingAfterBreak="0">
    <w:nsid w:val="72AF6379"/>
    <w:multiLevelType w:val="hybridMultilevel"/>
    <w:tmpl w:val="C8F60CF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 w15:restartNumberingAfterBreak="0">
    <w:nsid w:val="7DC840BC"/>
    <w:multiLevelType w:val="hybridMultilevel"/>
    <w:tmpl w:val="64BC00C0"/>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049A0"/>
    <w:rsid w:val="00020D84"/>
    <w:rsid w:val="00030577"/>
    <w:rsid w:val="0003560D"/>
    <w:rsid w:val="00037C9A"/>
    <w:rsid w:val="00072C5F"/>
    <w:rsid w:val="000843B5"/>
    <w:rsid w:val="000879A7"/>
    <w:rsid w:val="000907CB"/>
    <w:rsid w:val="00102F11"/>
    <w:rsid w:val="00122D47"/>
    <w:rsid w:val="001420C3"/>
    <w:rsid w:val="001534F8"/>
    <w:rsid w:val="0015489D"/>
    <w:rsid w:val="0016034B"/>
    <w:rsid w:val="00161610"/>
    <w:rsid w:val="00180C3E"/>
    <w:rsid w:val="001B57A2"/>
    <w:rsid w:val="00287EE4"/>
    <w:rsid w:val="002A2983"/>
    <w:rsid w:val="002C27AA"/>
    <w:rsid w:val="003430D1"/>
    <w:rsid w:val="0036621D"/>
    <w:rsid w:val="00385848"/>
    <w:rsid w:val="003C23D8"/>
    <w:rsid w:val="003D5024"/>
    <w:rsid w:val="00456BE5"/>
    <w:rsid w:val="00493BB0"/>
    <w:rsid w:val="00531CAA"/>
    <w:rsid w:val="006126FC"/>
    <w:rsid w:val="0064482B"/>
    <w:rsid w:val="006567C9"/>
    <w:rsid w:val="0068154B"/>
    <w:rsid w:val="006C58F3"/>
    <w:rsid w:val="006D6D24"/>
    <w:rsid w:val="00722A74"/>
    <w:rsid w:val="007C2323"/>
    <w:rsid w:val="007C2E94"/>
    <w:rsid w:val="008000F4"/>
    <w:rsid w:val="00827553"/>
    <w:rsid w:val="00846476"/>
    <w:rsid w:val="008A43F2"/>
    <w:rsid w:val="008D7232"/>
    <w:rsid w:val="0090497E"/>
    <w:rsid w:val="00935A98"/>
    <w:rsid w:val="00962FDE"/>
    <w:rsid w:val="009B6EE9"/>
    <w:rsid w:val="009D642D"/>
    <w:rsid w:val="009F08FE"/>
    <w:rsid w:val="00A052B2"/>
    <w:rsid w:val="00A22490"/>
    <w:rsid w:val="00A22BD2"/>
    <w:rsid w:val="00A40C84"/>
    <w:rsid w:val="00A42694"/>
    <w:rsid w:val="00A51A77"/>
    <w:rsid w:val="00A90B26"/>
    <w:rsid w:val="00AA7510"/>
    <w:rsid w:val="00AF1841"/>
    <w:rsid w:val="00B44658"/>
    <w:rsid w:val="00C353B4"/>
    <w:rsid w:val="00C93581"/>
    <w:rsid w:val="00C9651C"/>
    <w:rsid w:val="00CD3D81"/>
    <w:rsid w:val="00CF333E"/>
    <w:rsid w:val="00DD3831"/>
    <w:rsid w:val="00E36A09"/>
    <w:rsid w:val="00EB0CF5"/>
    <w:rsid w:val="00EF3436"/>
    <w:rsid w:val="00F03B24"/>
    <w:rsid w:val="00F4163F"/>
    <w:rsid w:val="00F75BC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Mirna</cp:lastModifiedBy>
  <cp:revision>5</cp:revision>
  <cp:lastPrinted>2024-05-24T08:59:00Z</cp:lastPrinted>
  <dcterms:created xsi:type="dcterms:W3CDTF">2024-06-07T11:42:00Z</dcterms:created>
  <dcterms:modified xsi:type="dcterms:W3CDTF">2024-06-11T10:19:00Z</dcterms:modified>
</cp:coreProperties>
</file>